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E286FE" w14:textId="77777777" w:rsidR="00780798" w:rsidRPr="004E42C8" w:rsidRDefault="00780798" w:rsidP="00780798">
      <w:pPr>
        <w:pStyle w:val="Court"/>
        <w:spacing w:after="0"/>
        <w:jc w:val="center"/>
        <w:rPr>
          <w:rFonts w:ascii="Garamond" w:hAnsi="Garamond"/>
          <w:b/>
          <w:bCs/>
          <w:szCs w:val="24"/>
        </w:rPr>
      </w:pPr>
      <w:r w:rsidRPr="004E42C8">
        <w:rPr>
          <w:rFonts w:ascii="Garamond" w:hAnsi="Garamond"/>
          <w:b/>
          <w:bCs/>
          <w:szCs w:val="24"/>
        </w:rPr>
        <w:t>UNITED STATES DISTRICT COURT</w:t>
      </w:r>
      <w:r w:rsidRPr="004E42C8">
        <w:rPr>
          <w:rFonts w:ascii="Garamond" w:hAnsi="Garamond"/>
          <w:b/>
          <w:bCs/>
          <w:szCs w:val="24"/>
        </w:rPr>
        <w:br/>
        <w:t>FOR THE NORTHERN DISTRICT OF ILLINOIS</w:t>
      </w:r>
      <w:r w:rsidRPr="004E42C8">
        <w:rPr>
          <w:rFonts w:ascii="Garamond" w:hAnsi="Garamond"/>
          <w:b/>
          <w:bCs/>
          <w:szCs w:val="24"/>
        </w:rPr>
        <w:br/>
        <w:t>EASTERN DIVISION</w:t>
      </w:r>
    </w:p>
    <w:p w14:paraId="0E61B0B1" w14:textId="77777777" w:rsidR="00780798" w:rsidRPr="004E42C8" w:rsidRDefault="00780798" w:rsidP="00780798">
      <w:pPr>
        <w:pStyle w:val="Court"/>
        <w:spacing w:after="0"/>
        <w:jc w:val="center"/>
        <w:rPr>
          <w:rFonts w:ascii="Garamond" w:hAnsi="Garamond"/>
          <w:b/>
          <w:bCs/>
          <w:szCs w:val="24"/>
        </w:rPr>
      </w:pPr>
    </w:p>
    <w:tbl>
      <w:tblPr>
        <w:tblW w:w="5000" w:type="pct"/>
        <w:tblBorders>
          <w:insideV w:val="single" w:sz="4" w:space="0" w:color="auto"/>
        </w:tblBorders>
        <w:tblLayout w:type="fixed"/>
        <w:tblLook w:val="0000" w:firstRow="0" w:lastRow="0" w:firstColumn="0" w:lastColumn="0" w:noHBand="0" w:noVBand="0"/>
      </w:tblPr>
      <w:tblGrid>
        <w:gridCol w:w="4680"/>
        <w:gridCol w:w="4680"/>
      </w:tblGrid>
      <w:tr w:rsidR="00780798" w:rsidRPr="004E42C8" w14:paraId="4762C483" w14:textId="77777777" w:rsidTr="00BD1882">
        <w:tc>
          <w:tcPr>
            <w:tcW w:w="2500" w:type="pct"/>
            <w:tcBorders>
              <w:top w:val="single" w:sz="4" w:space="0" w:color="auto"/>
              <w:bottom w:val="single" w:sz="4" w:space="0" w:color="auto"/>
            </w:tcBorders>
          </w:tcPr>
          <w:p w14:paraId="54C437DD" w14:textId="77777777" w:rsidR="00780798" w:rsidRPr="004E42C8" w:rsidRDefault="00780798" w:rsidP="00BD1882">
            <w:pPr>
              <w:pStyle w:val="Parties"/>
              <w:rPr>
                <w:rFonts w:ascii="Garamond" w:hAnsi="Garamond"/>
                <w:szCs w:val="24"/>
              </w:rPr>
            </w:pPr>
            <w:r w:rsidRPr="004E42C8">
              <w:rPr>
                <w:rFonts w:ascii="Garamond" w:hAnsi="Garamond"/>
                <w:szCs w:val="24"/>
              </w:rPr>
              <w:t>STATE OF ILLINOIS,</w:t>
            </w:r>
          </w:p>
          <w:p w14:paraId="069FF0A8" w14:textId="77777777" w:rsidR="00780798" w:rsidRPr="004E42C8" w:rsidRDefault="00780798" w:rsidP="00BD1882">
            <w:pPr>
              <w:pStyle w:val="Plaintiff"/>
              <w:rPr>
                <w:rFonts w:ascii="Garamond" w:hAnsi="Garamond"/>
                <w:szCs w:val="24"/>
              </w:rPr>
            </w:pPr>
            <w:r w:rsidRPr="004E42C8">
              <w:rPr>
                <w:rFonts w:ascii="Garamond" w:hAnsi="Garamond"/>
                <w:szCs w:val="24"/>
              </w:rPr>
              <w:t>Plaintiff,</w:t>
            </w:r>
          </w:p>
          <w:p w14:paraId="40E00891" w14:textId="77777777" w:rsidR="00780798" w:rsidRPr="004E42C8" w:rsidRDefault="00780798" w:rsidP="00BD1882">
            <w:pPr>
              <w:pStyle w:val="vs"/>
              <w:ind w:left="1152"/>
              <w:rPr>
                <w:rFonts w:ascii="Garamond" w:hAnsi="Garamond"/>
                <w:szCs w:val="24"/>
              </w:rPr>
            </w:pPr>
            <w:r w:rsidRPr="004E42C8">
              <w:rPr>
                <w:rFonts w:ascii="Garamond" w:hAnsi="Garamond"/>
                <w:szCs w:val="24"/>
              </w:rPr>
              <w:t>v.</w:t>
            </w:r>
          </w:p>
          <w:p w14:paraId="6DB56A9B" w14:textId="77777777" w:rsidR="00780798" w:rsidRPr="004E42C8" w:rsidRDefault="00780798" w:rsidP="00BD1882">
            <w:pPr>
              <w:pStyle w:val="Parties"/>
              <w:rPr>
                <w:rFonts w:ascii="Garamond" w:hAnsi="Garamond"/>
                <w:szCs w:val="24"/>
              </w:rPr>
            </w:pPr>
            <w:r w:rsidRPr="004E42C8">
              <w:rPr>
                <w:rFonts w:ascii="Garamond" w:hAnsi="Garamond"/>
                <w:szCs w:val="24"/>
              </w:rPr>
              <w:t>CITY OF CHICAGO,</w:t>
            </w:r>
          </w:p>
          <w:p w14:paraId="63C7A488" w14:textId="77777777" w:rsidR="00780798" w:rsidRPr="004E42C8" w:rsidRDefault="00780798" w:rsidP="00BD1882">
            <w:pPr>
              <w:pStyle w:val="Defendant"/>
              <w:rPr>
                <w:rFonts w:ascii="Garamond" w:hAnsi="Garamond"/>
                <w:szCs w:val="24"/>
              </w:rPr>
            </w:pPr>
            <w:r w:rsidRPr="004E42C8">
              <w:rPr>
                <w:rFonts w:ascii="Garamond" w:hAnsi="Garamond"/>
                <w:szCs w:val="24"/>
              </w:rPr>
              <w:t>Defendant.</w:t>
            </w:r>
          </w:p>
        </w:tc>
        <w:tc>
          <w:tcPr>
            <w:tcW w:w="2500" w:type="pct"/>
            <w:vAlign w:val="center"/>
          </w:tcPr>
          <w:p w14:paraId="7CFFE8B8" w14:textId="77777777" w:rsidR="00780798" w:rsidRPr="004E42C8" w:rsidRDefault="00780798" w:rsidP="00BD1882">
            <w:pPr>
              <w:pStyle w:val="CaptionRight"/>
              <w:rPr>
                <w:rFonts w:ascii="Garamond" w:hAnsi="Garamond"/>
                <w:szCs w:val="24"/>
              </w:rPr>
            </w:pPr>
            <w:r w:rsidRPr="004E42C8">
              <w:rPr>
                <w:rFonts w:ascii="Garamond" w:hAnsi="Garamond"/>
                <w:szCs w:val="24"/>
              </w:rPr>
              <w:t>Case No. 17-cv-6260</w:t>
            </w:r>
          </w:p>
          <w:p w14:paraId="008FC998" w14:textId="77777777" w:rsidR="00780798" w:rsidRPr="004E42C8" w:rsidRDefault="00780798" w:rsidP="00BD1882">
            <w:pPr>
              <w:pStyle w:val="CaptionRight"/>
              <w:rPr>
                <w:rFonts w:ascii="Garamond" w:hAnsi="Garamond"/>
                <w:szCs w:val="24"/>
              </w:rPr>
            </w:pPr>
          </w:p>
          <w:p w14:paraId="27356B51" w14:textId="77777777" w:rsidR="00780798" w:rsidRPr="004E42C8" w:rsidRDefault="00780798" w:rsidP="00BD1882">
            <w:pPr>
              <w:pStyle w:val="CaptionRight"/>
              <w:rPr>
                <w:rFonts w:ascii="Garamond" w:hAnsi="Garamond"/>
                <w:szCs w:val="24"/>
              </w:rPr>
            </w:pPr>
            <w:r w:rsidRPr="004E42C8">
              <w:rPr>
                <w:rFonts w:ascii="Garamond" w:hAnsi="Garamond"/>
                <w:szCs w:val="24"/>
              </w:rPr>
              <w:t>Hon. Robert M. Dow Jr.</w:t>
            </w:r>
          </w:p>
        </w:tc>
      </w:tr>
    </w:tbl>
    <w:p w14:paraId="7E55CF1B" w14:textId="77777777" w:rsidR="00780798" w:rsidRPr="004E42C8" w:rsidRDefault="00780798" w:rsidP="004E42C8">
      <w:pPr>
        <w:rPr>
          <w:rFonts w:ascii="Garamond" w:hAnsi="Garamond"/>
          <w:b/>
          <w:sz w:val="24"/>
          <w:szCs w:val="24"/>
        </w:rPr>
      </w:pPr>
    </w:p>
    <w:p w14:paraId="75641A62" w14:textId="21D06582" w:rsidR="00780798" w:rsidRPr="004E42C8" w:rsidRDefault="00780798" w:rsidP="004E42C8">
      <w:pPr>
        <w:jc w:val="center"/>
        <w:rPr>
          <w:rFonts w:ascii="Garamond" w:hAnsi="Garamond"/>
          <w:b/>
          <w:sz w:val="24"/>
          <w:szCs w:val="24"/>
        </w:rPr>
      </w:pPr>
      <w:r w:rsidRPr="004E42C8">
        <w:rPr>
          <w:rFonts w:ascii="Garamond" w:hAnsi="Garamond"/>
          <w:b/>
          <w:sz w:val="24"/>
          <w:szCs w:val="24"/>
        </w:rPr>
        <w:t>MEMORANDUM OF AGREEMENT BETWEEN THE CITY OF CHICAGO AND THE CONSENT DECREE COALITION</w:t>
      </w:r>
      <w:r w:rsidR="00D37440" w:rsidRPr="004E42C8">
        <w:rPr>
          <w:rFonts w:ascii="Garamond" w:hAnsi="Garamond"/>
          <w:b/>
          <w:sz w:val="24"/>
          <w:szCs w:val="24"/>
        </w:rPr>
        <w:t xml:space="preserve"> REGARDING WORKING GROUPS </w:t>
      </w:r>
    </w:p>
    <w:p w14:paraId="1C5521BB" w14:textId="62A596A8" w:rsidR="00780798" w:rsidRPr="004E42C8" w:rsidRDefault="00CE05C8" w:rsidP="004E42C8">
      <w:pPr>
        <w:pStyle w:val="ListParagraph"/>
        <w:numPr>
          <w:ilvl w:val="0"/>
          <w:numId w:val="1"/>
        </w:numPr>
        <w:spacing w:line="480" w:lineRule="auto"/>
        <w:ind w:left="90" w:firstLine="720"/>
        <w:jc w:val="both"/>
        <w:rPr>
          <w:rFonts w:ascii="Garamond" w:hAnsi="Garamond"/>
          <w:sz w:val="24"/>
          <w:szCs w:val="24"/>
        </w:rPr>
      </w:pPr>
      <w:r>
        <w:rPr>
          <w:rFonts w:ascii="Garamond" w:hAnsi="Garamond"/>
          <w:sz w:val="24"/>
          <w:szCs w:val="24"/>
        </w:rPr>
        <w:t xml:space="preserve">Background:  </w:t>
      </w:r>
      <w:r w:rsidR="00780798" w:rsidRPr="004E42C8">
        <w:rPr>
          <w:rFonts w:ascii="Garamond" w:hAnsi="Garamond"/>
          <w:sz w:val="24"/>
          <w:szCs w:val="24"/>
        </w:rPr>
        <w:t xml:space="preserve">Pursuant to ¶ 709 of the Consent Decree in the above captioned matter, the Coalition </w:t>
      </w:r>
      <w:r w:rsidR="004E42C8" w:rsidRPr="004E42C8">
        <w:rPr>
          <w:rFonts w:ascii="Garamond" w:hAnsi="Garamond"/>
          <w:sz w:val="24"/>
          <w:szCs w:val="24"/>
        </w:rPr>
        <w:t>is imbued with the authority</w:t>
      </w:r>
      <w:r w:rsidR="00780798" w:rsidRPr="004E42C8">
        <w:rPr>
          <w:rFonts w:ascii="Garamond" w:hAnsi="Garamond"/>
          <w:sz w:val="24"/>
          <w:szCs w:val="24"/>
        </w:rPr>
        <w:t xml:space="preserve"> to enforce the terms of the Decree. The Coalitio</w:t>
      </w:r>
      <w:r w:rsidR="004E42C8" w:rsidRPr="004E42C8">
        <w:rPr>
          <w:rFonts w:ascii="Garamond" w:hAnsi="Garamond"/>
          <w:sz w:val="24"/>
          <w:szCs w:val="24"/>
        </w:rPr>
        <w:t>n</w:t>
      </w:r>
      <w:r w:rsidR="00592580" w:rsidRPr="004E42C8">
        <w:rPr>
          <w:rFonts w:ascii="Garamond" w:hAnsi="Garamond"/>
          <w:sz w:val="24"/>
          <w:szCs w:val="24"/>
        </w:rPr>
        <w:t xml:space="preserve"> is comprised of Plaintiff organizations in two separate lawsuits: (1) </w:t>
      </w:r>
      <w:r w:rsidR="00592580" w:rsidRPr="004E42C8">
        <w:rPr>
          <w:rFonts w:ascii="Garamond" w:hAnsi="Garamond"/>
          <w:i/>
          <w:sz w:val="24"/>
          <w:szCs w:val="24"/>
        </w:rPr>
        <w:t>Campbell v. City of Chicago</w:t>
      </w:r>
      <w:r w:rsidR="00592580" w:rsidRPr="004E42C8">
        <w:rPr>
          <w:rFonts w:ascii="Garamond" w:hAnsi="Garamond"/>
          <w:sz w:val="24"/>
          <w:szCs w:val="24"/>
        </w:rPr>
        <w:t>, Case No. 17-cv-4467</w:t>
      </w:r>
      <w:r w:rsidR="004E42C8" w:rsidRPr="004E42C8">
        <w:rPr>
          <w:rFonts w:ascii="Garamond" w:hAnsi="Garamond"/>
          <w:sz w:val="24"/>
          <w:szCs w:val="24"/>
        </w:rPr>
        <w:t xml:space="preserve"> (N.D. Ill.)</w:t>
      </w:r>
      <w:r w:rsidR="00592580" w:rsidRPr="004E42C8">
        <w:rPr>
          <w:rFonts w:ascii="Garamond" w:hAnsi="Garamond"/>
          <w:sz w:val="24"/>
          <w:szCs w:val="24"/>
        </w:rPr>
        <w:t xml:space="preserve">; and (2) </w:t>
      </w:r>
      <w:r w:rsidR="00592580" w:rsidRPr="004E42C8">
        <w:rPr>
          <w:rFonts w:ascii="Garamond" w:hAnsi="Garamond"/>
          <w:i/>
          <w:sz w:val="24"/>
          <w:szCs w:val="24"/>
        </w:rPr>
        <w:t>Communities United v. City of Chicago</w:t>
      </w:r>
      <w:r w:rsidR="00592580" w:rsidRPr="004E42C8">
        <w:rPr>
          <w:rFonts w:ascii="Garamond" w:hAnsi="Garamond"/>
          <w:sz w:val="24"/>
          <w:szCs w:val="24"/>
        </w:rPr>
        <w:t>, Case No. 17-cv-7151</w:t>
      </w:r>
      <w:r w:rsidR="004E42C8" w:rsidRPr="004E42C8">
        <w:rPr>
          <w:rFonts w:ascii="Garamond" w:hAnsi="Garamond"/>
          <w:sz w:val="24"/>
          <w:szCs w:val="24"/>
        </w:rPr>
        <w:t xml:space="preserve"> (N.D. Ill.). </w:t>
      </w:r>
      <w:r w:rsidR="005C7DD5" w:rsidRPr="004E42C8">
        <w:rPr>
          <w:rFonts w:ascii="Garamond" w:hAnsi="Garamond"/>
          <w:sz w:val="24"/>
          <w:szCs w:val="24"/>
        </w:rPr>
        <w:t xml:space="preserve"> The Coalition’s </w:t>
      </w:r>
      <w:r w:rsidR="00592580" w:rsidRPr="004E42C8">
        <w:rPr>
          <w:rFonts w:ascii="Garamond" w:hAnsi="Garamond"/>
          <w:sz w:val="24"/>
          <w:szCs w:val="24"/>
        </w:rPr>
        <w:t xml:space="preserve">purpose is to monitor, enforce, and educate the community about the </w:t>
      </w:r>
      <w:r w:rsidR="004E42C8" w:rsidRPr="004E42C8">
        <w:rPr>
          <w:rFonts w:ascii="Garamond" w:hAnsi="Garamond"/>
          <w:sz w:val="24"/>
          <w:szCs w:val="24"/>
        </w:rPr>
        <w:t>Decree</w:t>
      </w:r>
      <w:r w:rsidR="00592580" w:rsidRPr="004E42C8">
        <w:rPr>
          <w:rFonts w:ascii="Garamond" w:hAnsi="Garamond"/>
          <w:sz w:val="24"/>
          <w:szCs w:val="24"/>
        </w:rPr>
        <w:t xml:space="preserve">. </w:t>
      </w:r>
      <w:r w:rsidR="00780798" w:rsidRPr="004E42C8">
        <w:rPr>
          <w:rFonts w:ascii="Garamond" w:hAnsi="Garamond"/>
          <w:sz w:val="24"/>
          <w:szCs w:val="24"/>
        </w:rPr>
        <w:t xml:space="preserve"> </w:t>
      </w:r>
      <w:r w:rsidR="00742A08" w:rsidRPr="004E42C8">
        <w:rPr>
          <w:rFonts w:ascii="Garamond" w:hAnsi="Garamond"/>
          <w:sz w:val="24"/>
          <w:szCs w:val="24"/>
        </w:rPr>
        <w:t>A separate Memorandum of Agreement</w:t>
      </w:r>
      <w:r w:rsidR="004E42C8" w:rsidRPr="004E42C8">
        <w:rPr>
          <w:rFonts w:ascii="Garamond" w:hAnsi="Garamond"/>
          <w:sz w:val="24"/>
          <w:szCs w:val="24"/>
        </w:rPr>
        <w:t xml:space="preserve"> (MOA)</w:t>
      </w:r>
      <w:r w:rsidR="00742A08" w:rsidRPr="004E42C8">
        <w:rPr>
          <w:rFonts w:ascii="Garamond" w:hAnsi="Garamond"/>
          <w:sz w:val="24"/>
          <w:szCs w:val="24"/>
        </w:rPr>
        <w:t xml:space="preserve"> between </w:t>
      </w:r>
      <w:r w:rsidR="00F902D6" w:rsidRPr="004E42C8">
        <w:rPr>
          <w:rFonts w:ascii="Garamond" w:hAnsi="Garamond"/>
          <w:sz w:val="24"/>
          <w:szCs w:val="24"/>
        </w:rPr>
        <w:t>the P</w:t>
      </w:r>
      <w:r w:rsidR="00742A08" w:rsidRPr="004E42C8">
        <w:rPr>
          <w:rFonts w:ascii="Garamond" w:hAnsi="Garamond"/>
          <w:sz w:val="24"/>
          <w:szCs w:val="24"/>
        </w:rPr>
        <w:t>arties in the above captioned case</w:t>
      </w:r>
      <w:r w:rsidR="00F902D6" w:rsidRPr="004E42C8">
        <w:rPr>
          <w:rFonts w:ascii="Garamond" w:hAnsi="Garamond"/>
          <w:sz w:val="24"/>
          <w:szCs w:val="24"/>
        </w:rPr>
        <w:t xml:space="preserve"> (“Parties”)</w:t>
      </w:r>
      <w:r w:rsidR="00742A08" w:rsidRPr="004E42C8">
        <w:rPr>
          <w:rFonts w:ascii="Garamond" w:hAnsi="Garamond"/>
          <w:sz w:val="24"/>
          <w:szCs w:val="24"/>
        </w:rPr>
        <w:t xml:space="preserve"> and the Coalition </w:t>
      </w:r>
      <w:r w:rsidR="005C7DD5" w:rsidRPr="004E42C8">
        <w:rPr>
          <w:rFonts w:ascii="Garamond" w:hAnsi="Garamond"/>
          <w:sz w:val="24"/>
          <w:szCs w:val="24"/>
        </w:rPr>
        <w:t xml:space="preserve">describes </w:t>
      </w:r>
      <w:r w:rsidR="00742A08" w:rsidRPr="004E42C8">
        <w:rPr>
          <w:rFonts w:ascii="Garamond" w:hAnsi="Garamond"/>
          <w:sz w:val="24"/>
          <w:szCs w:val="24"/>
        </w:rPr>
        <w:t xml:space="preserve">the Coalition’s role in monitoring compliance with the </w:t>
      </w:r>
      <w:r w:rsidR="004E42C8" w:rsidRPr="004E42C8">
        <w:rPr>
          <w:rFonts w:ascii="Garamond" w:hAnsi="Garamond"/>
          <w:sz w:val="24"/>
          <w:szCs w:val="24"/>
        </w:rPr>
        <w:t>D</w:t>
      </w:r>
      <w:r w:rsidR="00742A08" w:rsidRPr="004E42C8">
        <w:rPr>
          <w:rFonts w:ascii="Garamond" w:hAnsi="Garamond"/>
          <w:sz w:val="24"/>
          <w:szCs w:val="24"/>
        </w:rPr>
        <w:t>ecree</w:t>
      </w:r>
      <w:r w:rsidR="004E42C8" w:rsidRPr="004E42C8">
        <w:rPr>
          <w:rFonts w:ascii="Garamond" w:hAnsi="Garamond"/>
          <w:sz w:val="24"/>
          <w:szCs w:val="24"/>
        </w:rPr>
        <w:t>.  That MOA mandates</w:t>
      </w:r>
      <w:r w:rsidR="004E42C8">
        <w:rPr>
          <w:rFonts w:ascii="Garamond" w:hAnsi="Garamond"/>
          <w:sz w:val="24"/>
          <w:szCs w:val="24"/>
        </w:rPr>
        <w:t>, among other things,</w:t>
      </w:r>
      <w:r w:rsidR="004E42C8" w:rsidRPr="004E42C8">
        <w:rPr>
          <w:rFonts w:ascii="Garamond" w:hAnsi="Garamond"/>
          <w:sz w:val="24"/>
          <w:szCs w:val="24"/>
        </w:rPr>
        <w:t xml:space="preserve"> </w:t>
      </w:r>
      <w:r w:rsidR="00742A08" w:rsidRPr="004E42C8">
        <w:rPr>
          <w:rFonts w:ascii="Garamond" w:hAnsi="Garamond"/>
          <w:sz w:val="24"/>
          <w:szCs w:val="24"/>
        </w:rPr>
        <w:t>quarterly meetings</w:t>
      </w:r>
      <w:r w:rsidR="00F902D6" w:rsidRPr="004E42C8">
        <w:rPr>
          <w:rFonts w:ascii="Garamond" w:hAnsi="Garamond"/>
          <w:sz w:val="24"/>
          <w:szCs w:val="24"/>
        </w:rPr>
        <w:t xml:space="preserve"> with the Independent M</w:t>
      </w:r>
      <w:r w:rsidR="00742A08" w:rsidRPr="004E42C8">
        <w:rPr>
          <w:rFonts w:ascii="Garamond" w:hAnsi="Garamond"/>
          <w:sz w:val="24"/>
          <w:szCs w:val="24"/>
        </w:rPr>
        <w:t xml:space="preserve">onitor </w:t>
      </w:r>
      <w:r w:rsidR="0034432C" w:rsidRPr="004E42C8">
        <w:rPr>
          <w:rFonts w:ascii="Garamond" w:hAnsi="Garamond"/>
          <w:sz w:val="24"/>
          <w:szCs w:val="24"/>
        </w:rPr>
        <w:t>pursuant to</w:t>
      </w:r>
      <w:r w:rsidR="00742A08" w:rsidRPr="004E42C8">
        <w:rPr>
          <w:rFonts w:ascii="Garamond" w:hAnsi="Garamond"/>
          <w:sz w:val="24"/>
          <w:szCs w:val="24"/>
        </w:rPr>
        <w:t xml:space="preserve"> ¶ 186 of the Consent Decree and </w:t>
      </w:r>
      <w:r w:rsidR="004E42C8" w:rsidRPr="004E42C8">
        <w:rPr>
          <w:rFonts w:ascii="Garamond" w:hAnsi="Garamond"/>
          <w:sz w:val="24"/>
          <w:szCs w:val="24"/>
        </w:rPr>
        <w:t>provides the Coalition with the right</w:t>
      </w:r>
      <w:r w:rsidR="00742A08" w:rsidRPr="004E42C8">
        <w:rPr>
          <w:rFonts w:ascii="Garamond" w:hAnsi="Garamond"/>
          <w:sz w:val="24"/>
          <w:szCs w:val="24"/>
        </w:rPr>
        <w:t xml:space="preserve"> to file written comments with the Court in response to the Monitor’s Reports. </w:t>
      </w:r>
    </w:p>
    <w:p w14:paraId="6316B242" w14:textId="45DFD8B4" w:rsidR="00A12965" w:rsidRPr="00E9537E" w:rsidRDefault="00CE05C8" w:rsidP="00E9537E">
      <w:pPr>
        <w:pStyle w:val="ListParagraph"/>
        <w:numPr>
          <w:ilvl w:val="0"/>
          <w:numId w:val="1"/>
        </w:numPr>
        <w:spacing w:line="480" w:lineRule="auto"/>
        <w:ind w:left="90" w:firstLine="720"/>
        <w:rPr>
          <w:rFonts w:ascii="Garamond" w:hAnsi="Garamond"/>
          <w:sz w:val="24"/>
          <w:szCs w:val="24"/>
        </w:rPr>
      </w:pPr>
      <w:r w:rsidRPr="00EA77BC">
        <w:rPr>
          <w:rFonts w:ascii="Garamond" w:hAnsi="Garamond"/>
          <w:b/>
          <w:sz w:val="24"/>
          <w:szCs w:val="24"/>
        </w:rPr>
        <w:t>Purpose:</w:t>
      </w:r>
      <w:r>
        <w:rPr>
          <w:rFonts w:ascii="Garamond" w:hAnsi="Garamond"/>
          <w:sz w:val="24"/>
          <w:szCs w:val="24"/>
        </w:rPr>
        <w:t xml:space="preserve">  </w:t>
      </w:r>
      <w:r w:rsidR="004E42C8" w:rsidRPr="004E42C8">
        <w:rPr>
          <w:rFonts w:ascii="Garamond" w:hAnsi="Garamond"/>
          <w:sz w:val="24"/>
          <w:szCs w:val="24"/>
        </w:rPr>
        <w:t xml:space="preserve">The Coalition and the City have agreed to initiate a Working Group process, to facilitate the drafting and implementation of CPD policy and practice, in accordance with the requirements of the Decree.  </w:t>
      </w:r>
      <w:r w:rsidR="00F35CB9">
        <w:rPr>
          <w:rFonts w:ascii="Garamond" w:hAnsi="Garamond"/>
          <w:sz w:val="24"/>
          <w:szCs w:val="24"/>
        </w:rPr>
        <w:t xml:space="preserve">Each Working Group will work cooperatively to create a final set of “Workgroup Recommendations,” based on, research, city records and data, policing </w:t>
      </w:r>
      <w:r w:rsidR="00F35CB9">
        <w:rPr>
          <w:rFonts w:ascii="Garamond" w:hAnsi="Garamond"/>
          <w:sz w:val="24"/>
          <w:szCs w:val="24"/>
        </w:rPr>
        <w:lastRenderedPageBreak/>
        <w:t>best practices and model policies, and people’s lived experience</w:t>
      </w:r>
      <w:r w:rsidR="00EA77BC">
        <w:rPr>
          <w:rFonts w:ascii="Garamond" w:hAnsi="Garamond"/>
          <w:sz w:val="24"/>
          <w:szCs w:val="24"/>
        </w:rPr>
        <w:t>s, to be transmitted to the Monitor for approval</w:t>
      </w:r>
      <w:r w:rsidR="00F35CB9">
        <w:rPr>
          <w:rFonts w:ascii="Garamond" w:hAnsi="Garamond"/>
          <w:sz w:val="24"/>
          <w:szCs w:val="24"/>
        </w:rPr>
        <w:t>.</w:t>
      </w:r>
      <w:r w:rsidR="00E9537E">
        <w:rPr>
          <w:rFonts w:ascii="Garamond" w:hAnsi="Garamond"/>
          <w:sz w:val="24"/>
          <w:szCs w:val="24"/>
        </w:rPr>
        <w:t xml:space="preserve"> Initial working groups should be developed to address </w:t>
      </w:r>
      <w:r w:rsidR="0080648D" w:rsidRPr="00E9537E">
        <w:rPr>
          <w:rFonts w:ascii="Garamond" w:hAnsi="Garamond"/>
          <w:sz w:val="24"/>
          <w:szCs w:val="24"/>
        </w:rPr>
        <w:t>1</w:t>
      </w:r>
      <w:r w:rsidR="00E9537E" w:rsidRPr="00E9537E">
        <w:rPr>
          <w:rFonts w:ascii="Garamond" w:hAnsi="Garamond"/>
          <w:sz w:val="24"/>
          <w:szCs w:val="24"/>
        </w:rPr>
        <w:t xml:space="preserve">) </w:t>
      </w:r>
      <w:r w:rsidR="002435E8">
        <w:rPr>
          <w:rFonts w:ascii="Garamond" w:hAnsi="Garamond"/>
          <w:sz w:val="24"/>
          <w:szCs w:val="24"/>
        </w:rPr>
        <w:t>Impartial Policing</w:t>
      </w:r>
      <w:r w:rsidR="007E2364" w:rsidRPr="00E9537E">
        <w:rPr>
          <w:rFonts w:ascii="Garamond" w:hAnsi="Garamond"/>
          <w:sz w:val="24"/>
          <w:szCs w:val="24"/>
        </w:rPr>
        <w:t>;</w:t>
      </w:r>
      <w:r w:rsidR="00E9537E">
        <w:rPr>
          <w:rFonts w:ascii="Garamond" w:hAnsi="Garamond"/>
          <w:sz w:val="24"/>
          <w:szCs w:val="24"/>
        </w:rPr>
        <w:t xml:space="preserve"> and </w:t>
      </w:r>
    </w:p>
    <w:p w14:paraId="503C81F5" w14:textId="7E4139E2" w:rsidR="00E9537E" w:rsidRPr="00E9537E" w:rsidRDefault="0080648D" w:rsidP="00E9537E">
      <w:pPr>
        <w:spacing w:line="480" w:lineRule="auto"/>
        <w:rPr>
          <w:rFonts w:ascii="Garamond" w:hAnsi="Garamond"/>
          <w:sz w:val="24"/>
          <w:szCs w:val="24"/>
        </w:rPr>
      </w:pPr>
      <w:r w:rsidRPr="00E9537E">
        <w:rPr>
          <w:rFonts w:ascii="Garamond" w:hAnsi="Garamond"/>
          <w:sz w:val="24"/>
          <w:szCs w:val="24"/>
        </w:rPr>
        <w:t xml:space="preserve"> 2) Women and Gender</w:t>
      </w:r>
      <w:r w:rsidR="007E2364" w:rsidRPr="00E9537E">
        <w:rPr>
          <w:rFonts w:ascii="Garamond" w:hAnsi="Garamond"/>
          <w:sz w:val="24"/>
          <w:szCs w:val="24"/>
        </w:rPr>
        <w:t xml:space="preserve"> &amp; Prohibition of Sexual Violence</w:t>
      </w:r>
      <w:r w:rsidR="00E9537E">
        <w:rPr>
          <w:rFonts w:ascii="Garamond" w:hAnsi="Garamond"/>
          <w:sz w:val="24"/>
          <w:szCs w:val="24"/>
        </w:rPr>
        <w:t xml:space="preserve">. </w:t>
      </w:r>
      <w:r w:rsidR="007E2364" w:rsidRPr="00E9537E">
        <w:rPr>
          <w:rFonts w:ascii="Garamond" w:hAnsi="Garamond"/>
          <w:sz w:val="24"/>
          <w:szCs w:val="24"/>
        </w:rPr>
        <w:t xml:space="preserve"> </w:t>
      </w:r>
      <w:r w:rsidR="00E9537E">
        <w:rPr>
          <w:rFonts w:ascii="Garamond" w:hAnsi="Garamond"/>
          <w:sz w:val="24"/>
          <w:szCs w:val="24"/>
        </w:rPr>
        <w:t xml:space="preserve">The Coalition and the City agree that once an agreed upon working group process developed, they will launch additional working groups on topics jointly identified by the Coalition and the City. Such topics may include, but are not limited to: 1) </w:t>
      </w:r>
      <w:r w:rsidRPr="00E9537E">
        <w:rPr>
          <w:rFonts w:ascii="Garamond" w:hAnsi="Garamond"/>
          <w:sz w:val="24"/>
          <w:szCs w:val="24"/>
        </w:rPr>
        <w:t>Police Interaction with Youth/Police in Schools</w:t>
      </w:r>
      <w:r w:rsidR="007E2364" w:rsidRPr="00E9537E">
        <w:rPr>
          <w:rFonts w:ascii="Garamond" w:hAnsi="Garamond"/>
          <w:sz w:val="24"/>
          <w:szCs w:val="24"/>
        </w:rPr>
        <w:t xml:space="preserve">; </w:t>
      </w:r>
      <w:r w:rsidR="00E9537E">
        <w:rPr>
          <w:rFonts w:ascii="Garamond" w:hAnsi="Garamond"/>
          <w:sz w:val="24"/>
          <w:szCs w:val="24"/>
        </w:rPr>
        <w:t>2</w:t>
      </w:r>
      <w:r w:rsidRPr="00E9537E">
        <w:rPr>
          <w:rFonts w:ascii="Garamond" w:hAnsi="Garamond"/>
          <w:sz w:val="24"/>
          <w:szCs w:val="24"/>
        </w:rPr>
        <w:t>) Accountabilit</w:t>
      </w:r>
      <w:r w:rsidR="00325883" w:rsidRPr="00E9537E">
        <w:rPr>
          <w:rFonts w:ascii="Garamond" w:hAnsi="Garamond"/>
          <w:sz w:val="24"/>
          <w:szCs w:val="24"/>
        </w:rPr>
        <w:t xml:space="preserve">y, Transparency and the </w:t>
      </w:r>
      <w:r w:rsidRPr="00E9537E">
        <w:rPr>
          <w:rFonts w:ascii="Garamond" w:hAnsi="Garamond"/>
          <w:sz w:val="24"/>
          <w:szCs w:val="24"/>
        </w:rPr>
        <w:t>Civilian Office of Police Accountability</w:t>
      </w:r>
      <w:r w:rsidR="007E2364" w:rsidRPr="00E9537E">
        <w:rPr>
          <w:rFonts w:ascii="Garamond" w:hAnsi="Garamond"/>
          <w:sz w:val="24"/>
          <w:szCs w:val="24"/>
        </w:rPr>
        <w:t>;</w:t>
      </w:r>
      <w:r w:rsidR="00E9537E">
        <w:rPr>
          <w:rFonts w:ascii="Garamond" w:hAnsi="Garamond"/>
          <w:sz w:val="24"/>
          <w:szCs w:val="24"/>
        </w:rPr>
        <w:t xml:space="preserve"> </w:t>
      </w:r>
      <w:r w:rsidRPr="00E9537E">
        <w:rPr>
          <w:rFonts w:ascii="Garamond" w:hAnsi="Garamond"/>
          <w:sz w:val="24"/>
          <w:szCs w:val="24"/>
        </w:rPr>
        <w:t xml:space="preserve"> </w:t>
      </w:r>
      <w:r w:rsidR="00E9537E">
        <w:rPr>
          <w:rFonts w:ascii="Garamond" w:hAnsi="Garamond"/>
          <w:sz w:val="24"/>
          <w:szCs w:val="24"/>
        </w:rPr>
        <w:t>3</w:t>
      </w:r>
      <w:r w:rsidRPr="00E9537E">
        <w:rPr>
          <w:rFonts w:ascii="Garamond" w:hAnsi="Garamond"/>
          <w:sz w:val="24"/>
          <w:szCs w:val="24"/>
        </w:rPr>
        <w:t xml:space="preserve">) </w:t>
      </w:r>
      <w:r w:rsidR="007E2364" w:rsidRPr="00E9537E">
        <w:rPr>
          <w:rFonts w:ascii="Garamond" w:hAnsi="Garamond"/>
          <w:sz w:val="24"/>
          <w:szCs w:val="24"/>
        </w:rPr>
        <w:t xml:space="preserve">Supervision and </w:t>
      </w:r>
      <w:r w:rsidRPr="00E9537E">
        <w:rPr>
          <w:rFonts w:ascii="Garamond" w:hAnsi="Garamond"/>
          <w:sz w:val="24"/>
          <w:szCs w:val="24"/>
        </w:rPr>
        <w:t>Officer Performance Evaluations</w:t>
      </w:r>
      <w:r w:rsidR="00CD5806" w:rsidRPr="00E9537E">
        <w:rPr>
          <w:rFonts w:ascii="Garamond" w:hAnsi="Garamond"/>
          <w:sz w:val="24"/>
          <w:szCs w:val="24"/>
        </w:rPr>
        <w:t>;</w:t>
      </w:r>
      <w:r w:rsidRPr="00E9537E">
        <w:rPr>
          <w:rFonts w:ascii="Garamond" w:hAnsi="Garamond"/>
          <w:sz w:val="24"/>
          <w:szCs w:val="24"/>
        </w:rPr>
        <w:t xml:space="preserve"> </w:t>
      </w:r>
      <w:r w:rsidR="0042482F">
        <w:rPr>
          <w:rFonts w:ascii="Garamond" w:hAnsi="Garamond"/>
          <w:sz w:val="24"/>
          <w:szCs w:val="24"/>
        </w:rPr>
        <w:t>4</w:t>
      </w:r>
      <w:r w:rsidR="00CD5806" w:rsidRPr="00E9537E">
        <w:rPr>
          <w:rFonts w:ascii="Garamond" w:hAnsi="Garamond"/>
          <w:sz w:val="24"/>
          <w:szCs w:val="24"/>
        </w:rPr>
        <w:t>) Recruitmen</w:t>
      </w:r>
      <w:r w:rsidR="007E2364" w:rsidRPr="00E9537E">
        <w:rPr>
          <w:rFonts w:ascii="Garamond" w:hAnsi="Garamond"/>
          <w:sz w:val="24"/>
          <w:szCs w:val="24"/>
        </w:rPr>
        <w:t xml:space="preserve">t, Hiring and Promotion; </w:t>
      </w:r>
      <w:r w:rsidR="00CD5806" w:rsidRPr="00E9537E">
        <w:rPr>
          <w:rFonts w:ascii="Garamond" w:hAnsi="Garamond"/>
          <w:sz w:val="24"/>
          <w:szCs w:val="24"/>
        </w:rPr>
        <w:t xml:space="preserve"> </w:t>
      </w:r>
      <w:r w:rsidR="0042482F">
        <w:rPr>
          <w:rFonts w:ascii="Garamond" w:hAnsi="Garamond"/>
          <w:sz w:val="24"/>
          <w:szCs w:val="24"/>
        </w:rPr>
        <w:t>5</w:t>
      </w:r>
      <w:r w:rsidR="007E2364" w:rsidRPr="00E9537E">
        <w:rPr>
          <w:rFonts w:ascii="Garamond" w:hAnsi="Garamond"/>
          <w:sz w:val="24"/>
          <w:szCs w:val="24"/>
        </w:rPr>
        <w:t xml:space="preserve">) </w:t>
      </w:r>
      <w:r w:rsidR="00CD5806" w:rsidRPr="00E9537E">
        <w:rPr>
          <w:rFonts w:ascii="Garamond" w:hAnsi="Garamond"/>
          <w:sz w:val="24"/>
          <w:szCs w:val="24"/>
        </w:rPr>
        <w:t xml:space="preserve">Training; </w:t>
      </w:r>
      <w:r w:rsidR="0042482F">
        <w:rPr>
          <w:rFonts w:ascii="Garamond" w:hAnsi="Garamond"/>
          <w:sz w:val="24"/>
          <w:szCs w:val="24"/>
        </w:rPr>
        <w:t>6</w:t>
      </w:r>
      <w:r w:rsidR="00CD5806" w:rsidRPr="00E9537E">
        <w:rPr>
          <w:rFonts w:ascii="Garamond" w:hAnsi="Garamond"/>
          <w:sz w:val="24"/>
          <w:szCs w:val="24"/>
        </w:rPr>
        <w:t xml:space="preserve">) </w:t>
      </w:r>
      <w:r w:rsidR="007E2364" w:rsidRPr="00E9537E">
        <w:rPr>
          <w:rFonts w:ascii="Garamond" w:hAnsi="Garamond"/>
          <w:sz w:val="24"/>
          <w:szCs w:val="24"/>
        </w:rPr>
        <w:t>Officer Wellness and Support;</w:t>
      </w:r>
      <w:r w:rsidR="00E9537E">
        <w:rPr>
          <w:rFonts w:ascii="Garamond" w:hAnsi="Garamond"/>
          <w:sz w:val="24"/>
          <w:szCs w:val="24"/>
        </w:rPr>
        <w:t xml:space="preserve"> </w:t>
      </w:r>
      <w:r w:rsidR="0042482F">
        <w:rPr>
          <w:rFonts w:ascii="Garamond" w:hAnsi="Garamond"/>
          <w:sz w:val="24"/>
          <w:szCs w:val="24"/>
        </w:rPr>
        <w:t>7</w:t>
      </w:r>
      <w:r w:rsidR="007E2364" w:rsidRPr="00E9537E">
        <w:rPr>
          <w:rFonts w:ascii="Garamond" w:hAnsi="Garamond"/>
          <w:sz w:val="24"/>
          <w:szCs w:val="24"/>
        </w:rPr>
        <w:t>) Crisis Intervention;</w:t>
      </w:r>
      <w:r w:rsidR="00E9537E">
        <w:rPr>
          <w:rFonts w:ascii="Garamond" w:hAnsi="Garamond"/>
          <w:sz w:val="24"/>
          <w:szCs w:val="24"/>
        </w:rPr>
        <w:t xml:space="preserve"> </w:t>
      </w:r>
      <w:r w:rsidR="007E2364" w:rsidRPr="00E9537E">
        <w:rPr>
          <w:rFonts w:ascii="Garamond" w:hAnsi="Garamond"/>
          <w:sz w:val="24"/>
          <w:szCs w:val="24"/>
        </w:rPr>
        <w:t xml:space="preserve"> </w:t>
      </w:r>
      <w:r w:rsidR="0042482F">
        <w:rPr>
          <w:rFonts w:ascii="Garamond" w:hAnsi="Garamond"/>
          <w:sz w:val="24"/>
          <w:szCs w:val="24"/>
        </w:rPr>
        <w:t>8</w:t>
      </w:r>
      <w:r w:rsidR="007E2364" w:rsidRPr="00E9537E">
        <w:rPr>
          <w:rFonts w:ascii="Garamond" w:hAnsi="Garamond"/>
          <w:sz w:val="24"/>
          <w:szCs w:val="24"/>
        </w:rPr>
        <w:t>) Response to Hate Crimes</w:t>
      </w:r>
      <w:r w:rsidR="00325883" w:rsidRPr="00E9537E">
        <w:rPr>
          <w:rFonts w:ascii="Garamond" w:hAnsi="Garamond"/>
          <w:sz w:val="24"/>
          <w:szCs w:val="24"/>
        </w:rPr>
        <w:t xml:space="preserve">; and </w:t>
      </w:r>
      <w:r w:rsidR="0042482F">
        <w:rPr>
          <w:rFonts w:ascii="Garamond" w:hAnsi="Garamond"/>
          <w:sz w:val="24"/>
          <w:szCs w:val="24"/>
        </w:rPr>
        <w:t>9</w:t>
      </w:r>
      <w:r w:rsidR="00325883" w:rsidRPr="00E9537E">
        <w:rPr>
          <w:rFonts w:ascii="Garamond" w:hAnsi="Garamond"/>
          <w:sz w:val="24"/>
          <w:szCs w:val="24"/>
        </w:rPr>
        <w:t xml:space="preserve">) </w:t>
      </w:r>
      <w:r w:rsidRPr="00E9537E">
        <w:rPr>
          <w:rFonts w:ascii="Garamond" w:hAnsi="Garamond"/>
          <w:sz w:val="24"/>
          <w:szCs w:val="24"/>
        </w:rPr>
        <w:t>Coordination and Implementation of the Empowering Communities for Public Safety Ordinance and the Consent Decree</w:t>
      </w:r>
      <w:r w:rsidR="00325883" w:rsidRPr="00E9537E">
        <w:rPr>
          <w:rFonts w:ascii="Garamond" w:hAnsi="Garamond"/>
          <w:sz w:val="24"/>
          <w:szCs w:val="24"/>
        </w:rPr>
        <w:t>.</w:t>
      </w:r>
      <w:r w:rsidR="00E9537E">
        <w:rPr>
          <w:rFonts w:ascii="Garamond" w:hAnsi="Garamond"/>
          <w:sz w:val="24"/>
          <w:szCs w:val="24"/>
        </w:rPr>
        <w:t xml:space="preserve"> </w:t>
      </w:r>
    </w:p>
    <w:p w14:paraId="08FBCDCA" w14:textId="05919C1A" w:rsidR="00592580" w:rsidRPr="004E42C8" w:rsidRDefault="00CE05C8" w:rsidP="004E42C8">
      <w:pPr>
        <w:pStyle w:val="ListParagraph"/>
        <w:numPr>
          <w:ilvl w:val="0"/>
          <w:numId w:val="1"/>
        </w:numPr>
        <w:spacing w:line="480" w:lineRule="auto"/>
        <w:ind w:left="90" w:firstLine="720"/>
        <w:jc w:val="both"/>
        <w:rPr>
          <w:rFonts w:ascii="Garamond" w:hAnsi="Garamond"/>
          <w:sz w:val="24"/>
          <w:szCs w:val="24"/>
        </w:rPr>
      </w:pPr>
      <w:r w:rsidRPr="00EA77BC">
        <w:rPr>
          <w:rFonts w:ascii="Garamond" w:hAnsi="Garamond"/>
          <w:b/>
          <w:sz w:val="24"/>
          <w:szCs w:val="24"/>
        </w:rPr>
        <w:t>Process</w:t>
      </w:r>
      <w:r>
        <w:rPr>
          <w:rFonts w:ascii="Garamond" w:hAnsi="Garamond"/>
          <w:sz w:val="24"/>
          <w:szCs w:val="24"/>
        </w:rPr>
        <w:t xml:space="preserve">:  </w:t>
      </w:r>
      <w:r w:rsidR="0034432C" w:rsidRPr="004E42C8">
        <w:rPr>
          <w:rFonts w:ascii="Garamond" w:hAnsi="Garamond"/>
          <w:sz w:val="24"/>
          <w:szCs w:val="24"/>
        </w:rPr>
        <w:t xml:space="preserve">In order to facilitate the Coalition’s role </w:t>
      </w:r>
      <w:r w:rsidR="004E42C8" w:rsidRPr="004E42C8">
        <w:rPr>
          <w:rFonts w:ascii="Garamond" w:hAnsi="Garamond"/>
          <w:sz w:val="24"/>
          <w:szCs w:val="24"/>
        </w:rPr>
        <w:t xml:space="preserve">in the Working Group process, </w:t>
      </w:r>
      <w:r w:rsidR="0034432C" w:rsidRPr="004E42C8">
        <w:rPr>
          <w:rFonts w:ascii="Garamond" w:hAnsi="Garamond"/>
          <w:sz w:val="24"/>
          <w:szCs w:val="24"/>
        </w:rPr>
        <w:t xml:space="preserve">the </w:t>
      </w:r>
      <w:r w:rsidR="00F902D6" w:rsidRPr="004E42C8">
        <w:rPr>
          <w:rFonts w:ascii="Garamond" w:hAnsi="Garamond"/>
          <w:sz w:val="24"/>
          <w:szCs w:val="24"/>
        </w:rPr>
        <w:t>P</w:t>
      </w:r>
      <w:r w:rsidR="0034432C" w:rsidRPr="004E42C8">
        <w:rPr>
          <w:rFonts w:ascii="Garamond" w:hAnsi="Garamond"/>
          <w:sz w:val="24"/>
          <w:szCs w:val="24"/>
        </w:rPr>
        <w:t xml:space="preserve">arties </w:t>
      </w:r>
      <w:r w:rsidR="00F902D6" w:rsidRPr="004E42C8">
        <w:rPr>
          <w:rFonts w:ascii="Garamond" w:hAnsi="Garamond"/>
          <w:sz w:val="24"/>
          <w:szCs w:val="24"/>
        </w:rPr>
        <w:t xml:space="preserve">and the Coalition </w:t>
      </w:r>
      <w:r w:rsidR="003B0DB0" w:rsidRPr="004E42C8">
        <w:rPr>
          <w:rFonts w:ascii="Garamond" w:hAnsi="Garamond"/>
          <w:sz w:val="24"/>
          <w:szCs w:val="24"/>
        </w:rPr>
        <w:t>agree to the following</w:t>
      </w:r>
      <w:r w:rsidR="0034432C" w:rsidRPr="004E42C8">
        <w:rPr>
          <w:rFonts w:ascii="Garamond" w:hAnsi="Garamond"/>
          <w:sz w:val="24"/>
          <w:szCs w:val="24"/>
        </w:rPr>
        <w:t xml:space="preserve">: </w:t>
      </w:r>
    </w:p>
    <w:p w14:paraId="3F128378" w14:textId="0F2BDA84" w:rsidR="003B0DB0" w:rsidRPr="004E42C8" w:rsidRDefault="00EA77BC" w:rsidP="00CB559A">
      <w:pPr>
        <w:pStyle w:val="ListParagraph"/>
        <w:numPr>
          <w:ilvl w:val="1"/>
          <w:numId w:val="1"/>
        </w:numPr>
        <w:spacing w:after="0" w:line="480" w:lineRule="auto"/>
        <w:jc w:val="both"/>
        <w:rPr>
          <w:rFonts w:ascii="Garamond" w:hAnsi="Garamond"/>
          <w:b/>
          <w:sz w:val="24"/>
          <w:szCs w:val="24"/>
        </w:rPr>
      </w:pPr>
      <w:r w:rsidRPr="004E42C8">
        <w:rPr>
          <w:rFonts w:ascii="Garamond" w:hAnsi="Garamond"/>
          <w:b/>
          <w:sz w:val="24"/>
          <w:szCs w:val="24"/>
        </w:rPr>
        <w:t>Co</w:t>
      </w:r>
      <w:r>
        <w:rPr>
          <w:rFonts w:ascii="Garamond" w:hAnsi="Garamond"/>
          <w:b/>
          <w:sz w:val="24"/>
          <w:szCs w:val="24"/>
        </w:rPr>
        <w:t>mposition</w:t>
      </w:r>
      <w:r w:rsidR="003B0DB0" w:rsidRPr="004E42C8">
        <w:rPr>
          <w:rFonts w:ascii="Garamond" w:hAnsi="Garamond"/>
          <w:b/>
          <w:sz w:val="24"/>
          <w:szCs w:val="24"/>
        </w:rPr>
        <w:t xml:space="preserve">. </w:t>
      </w:r>
      <w:r w:rsidR="004E42C8">
        <w:rPr>
          <w:rFonts w:ascii="Garamond" w:hAnsi="Garamond"/>
          <w:b/>
          <w:sz w:val="24"/>
          <w:szCs w:val="24"/>
        </w:rPr>
        <w:t xml:space="preserve"> </w:t>
      </w:r>
      <w:r w:rsidR="003B0DB0" w:rsidRPr="004E42C8">
        <w:rPr>
          <w:rFonts w:ascii="Garamond" w:hAnsi="Garamond"/>
          <w:sz w:val="24"/>
          <w:szCs w:val="24"/>
        </w:rPr>
        <w:t xml:space="preserve">All </w:t>
      </w:r>
      <w:r w:rsidR="00F35CB9">
        <w:rPr>
          <w:rFonts w:ascii="Garamond" w:hAnsi="Garamond"/>
          <w:sz w:val="24"/>
          <w:szCs w:val="24"/>
        </w:rPr>
        <w:t>Working Groups</w:t>
      </w:r>
      <w:r w:rsidR="00B70334" w:rsidRPr="004E42C8">
        <w:rPr>
          <w:rFonts w:ascii="Garamond" w:hAnsi="Garamond"/>
          <w:sz w:val="24"/>
          <w:szCs w:val="24"/>
        </w:rPr>
        <w:t xml:space="preserve"> </w:t>
      </w:r>
      <w:r w:rsidR="003B0DB0" w:rsidRPr="004E42C8">
        <w:rPr>
          <w:rFonts w:ascii="Garamond" w:hAnsi="Garamond"/>
          <w:sz w:val="24"/>
          <w:szCs w:val="24"/>
        </w:rPr>
        <w:t>related to the consent decree will operate as a collaborative effort between the Parties</w:t>
      </w:r>
      <w:r w:rsidR="004E42C8">
        <w:rPr>
          <w:rFonts w:ascii="Garamond" w:hAnsi="Garamond"/>
          <w:sz w:val="24"/>
          <w:szCs w:val="24"/>
        </w:rPr>
        <w:t xml:space="preserve"> and the Coalition</w:t>
      </w:r>
      <w:r w:rsidR="003B0DB0" w:rsidRPr="004E42C8">
        <w:rPr>
          <w:rFonts w:ascii="Garamond" w:hAnsi="Garamond"/>
          <w:sz w:val="24"/>
          <w:szCs w:val="24"/>
        </w:rPr>
        <w:t xml:space="preserve">. </w:t>
      </w:r>
      <w:r w:rsidR="004E42C8">
        <w:rPr>
          <w:rFonts w:ascii="Garamond" w:hAnsi="Garamond"/>
          <w:sz w:val="24"/>
          <w:szCs w:val="24"/>
        </w:rPr>
        <w:t xml:space="preserve"> </w:t>
      </w:r>
      <w:r w:rsidR="00EA04F2" w:rsidRPr="004E42C8">
        <w:rPr>
          <w:rFonts w:ascii="Garamond" w:hAnsi="Garamond"/>
          <w:sz w:val="24"/>
          <w:szCs w:val="24"/>
        </w:rPr>
        <w:t xml:space="preserve">The City shall designate a chair </w:t>
      </w:r>
      <w:r w:rsidR="00F35CB9">
        <w:rPr>
          <w:rFonts w:ascii="Garamond" w:hAnsi="Garamond"/>
          <w:sz w:val="24"/>
          <w:szCs w:val="24"/>
        </w:rPr>
        <w:t>who</w:t>
      </w:r>
      <w:r w:rsidR="00F35CB9" w:rsidRPr="004E42C8">
        <w:rPr>
          <w:rFonts w:ascii="Garamond" w:hAnsi="Garamond"/>
          <w:sz w:val="24"/>
          <w:szCs w:val="24"/>
        </w:rPr>
        <w:t xml:space="preserve"> </w:t>
      </w:r>
      <w:r w:rsidR="00EA04F2" w:rsidRPr="004E42C8">
        <w:rPr>
          <w:rFonts w:ascii="Garamond" w:hAnsi="Garamond"/>
          <w:sz w:val="24"/>
          <w:szCs w:val="24"/>
        </w:rPr>
        <w:t>has relevant expertise and decision-making authority over the relevant policies at issue.</w:t>
      </w:r>
      <w:r w:rsidR="00EA04F2" w:rsidRPr="004E42C8">
        <w:rPr>
          <w:rFonts w:ascii="Garamond" w:hAnsi="Garamond"/>
          <w:color w:val="FF0000"/>
          <w:sz w:val="24"/>
          <w:szCs w:val="24"/>
        </w:rPr>
        <w:t xml:space="preserve"> </w:t>
      </w:r>
      <w:r w:rsidR="00CE05C8">
        <w:rPr>
          <w:rFonts w:ascii="Garamond" w:hAnsi="Garamond"/>
          <w:color w:val="FF0000"/>
          <w:sz w:val="24"/>
          <w:szCs w:val="24"/>
        </w:rPr>
        <w:t xml:space="preserve"> </w:t>
      </w:r>
      <w:r w:rsidR="003B0DB0" w:rsidRPr="004E42C8">
        <w:rPr>
          <w:rFonts w:ascii="Garamond" w:hAnsi="Garamond"/>
          <w:sz w:val="24"/>
          <w:szCs w:val="24"/>
        </w:rPr>
        <w:t xml:space="preserve">Coalition members shall have the option to co-chair all </w:t>
      </w:r>
      <w:r w:rsidR="00F35CB9">
        <w:rPr>
          <w:rFonts w:ascii="Garamond" w:hAnsi="Garamond"/>
          <w:sz w:val="24"/>
          <w:szCs w:val="24"/>
        </w:rPr>
        <w:t>Working Groups</w:t>
      </w:r>
      <w:r w:rsidR="003B0DB0" w:rsidRPr="004E42C8">
        <w:rPr>
          <w:rFonts w:ascii="Garamond" w:hAnsi="Garamond"/>
          <w:sz w:val="24"/>
          <w:szCs w:val="24"/>
        </w:rPr>
        <w:t>.</w:t>
      </w:r>
      <w:r w:rsidR="004E42C8">
        <w:rPr>
          <w:rFonts w:ascii="Garamond" w:hAnsi="Garamond"/>
          <w:sz w:val="24"/>
          <w:szCs w:val="24"/>
        </w:rPr>
        <w:t xml:space="preserve">  </w:t>
      </w:r>
      <w:proofErr w:type="gramStart"/>
      <w:r w:rsidR="003B0DB0" w:rsidRPr="004E42C8">
        <w:rPr>
          <w:rFonts w:ascii="Garamond" w:hAnsi="Garamond"/>
          <w:sz w:val="24"/>
          <w:szCs w:val="24"/>
        </w:rPr>
        <w:t>In the event that</w:t>
      </w:r>
      <w:proofErr w:type="gramEnd"/>
      <w:r w:rsidR="003B0DB0" w:rsidRPr="004E42C8">
        <w:rPr>
          <w:rFonts w:ascii="Garamond" w:hAnsi="Garamond"/>
          <w:sz w:val="24"/>
          <w:szCs w:val="24"/>
        </w:rPr>
        <w:t xml:space="preserve"> the Coalition declines to co-chair a </w:t>
      </w:r>
      <w:r w:rsidR="00F35CB9">
        <w:rPr>
          <w:rFonts w:ascii="Garamond" w:hAnsi="Garamond"/>
          <w:sz w:val="24"/>
          <w:szCs w:val="24"/>
        </w:rPr>
        <w:t>Work</w:t>
      </w:r>
      <w:r w:rsidR="00CE05C8">
        <w:rPr>
          <w:rFonts w:ascii="Garamond" w:hAnsi="Garamond"/>
          <w:sz w:val="24"/>
          <w:szCs w:val="24"/>
        </w:rPr>
        <w:t>ing</w:t>
      </w:r>
      <w:r w:rsidR="00F35CB9">
        <w:rPr>
          <w:rFonts w:ascii="Garamond" w:hAnsi="Garamond"/>
          <w:sz w:val="24"/>
          <w:szCs w:val="24"/>
        </w:rPr>
        <w:t xml:space="preserve"> Group</w:t>
      </w:r>
      <w:r w:rsidR="003B0DB0" w:rsidRPr="004E42C8">
        <w:rPr>
          <w:rFonts w:ascii="Garamond" w:hAnsi="Garamond"/>
          <w:sz w:val="24"/>
          <w:szCs w:val="24"/>
        </w:rPr>
        <w:t xml:space="preserve">, the Coalition will </w:t>
      </w:r>
      <w:r w:rsidR="00F35CB9">
        <w:rPr>
          <w:rFonts w:ascii="Garamond" w:hAnsi="Garamond"/>
          <w:sz w:val="24"/>
          <w:szCs w:val="24"/>
        </w:rPr>
        <w:t>work to</w:t>
      </w:r>
      <w:r w:rsidR="004E42C8">
        <w:rPr>
          <w:rFonts w:ascii="Garamond" w:hAnsi="Garamond"/>
          <w:sz w:val="24"/>
          <w:szCs w:val="24"/>
        </w:rPr>
        <w:t xml:space="preserve"> identify</w:t>
      </w:r>
      <w:r w:rsidR="004E42C8" w:rsidRPr="004E42C8">
        <w:rPr>
          <w:rFonts w:ascii="Garamond" w:hAnsi="Garamond"/>
          <w:sz w:val="24"/>
          <w:szCs w:val="24"/>
        </w:rPr>
        <w:t xml:space="preserve"> </w:t>
      </w:r>
      <w:r w:rsidR="003B0DB0" w:rsidRPr="004E42C8">
        <w:rPr>
          <w:rFonts w:ascii="Garamond" w:hAnsi="Garamond"/>
          <w:sz w:val="24"/>
          <w:szCs w:val="24"/>
        </w:rPr>
        <w:t xml:space="preserve">community representatives to fulfill this role. </w:t>
      </w:r>
      <w:r w:rsidR="004E42C8">
        <w:rPr>
          <w:rFonts w:ascii="Garamond" w:hAnsi="Garamond"/>
          <w:sz w:val="24"/>
          <w:szCs w:val="24"/>
        </w:rPr>
        <w:t xml:space="preserve"> </w:t>
      </w:r>
      <w:r>
        <w:rPr>
          <w:rFonts w:ascii="Garamond" w:hAnsi="Garamond"/>
          <w:sz w:val="24"/>
          <w:szCs w:val="24"/>
        </w:rPr>
        <w:t xml:space="preserve">The working group shall be comprised of individuals with the authority to approve policy for the CPD, Coalition representatives, subject matter experts, and people with lived experience relating to police abuse and misconduct. </w:t>
      </w:r>
      <w:r w:rsidR="00B70334" w:rsidRPr="004E42C8">
        <w:rPr>
          <w:rFonts w:ascii="Garamond" w:hAnsi="Garamond"/>
          <w:sz w:val="24"/>
          <w:szCs w:val="24"/>
        </w:rPr>
        <w:t>Workgroup</w:t>
      </w:r>
      <w:r w:rsidR="001D622C" w:rsidRPr="004E42C8">
        <w:rPr>
          <w:rFonts w:ascii="Garamond" w:hAnsi="Garamond"/>
          <w:sz w:val="24"/>
          <w:szCs w:val="24"/>
        </w:rPr>
        <w:t xml:space="preserve"> </w:t>
      </w:r>
      <w:r w:rsidR="0013080B" w:rsidRPr="004E42C8">
        <w:rPr>
          <w:rFonts w:ascii="Garamond" w:hAnsi="Garamond"/>
          <w:sz w:val="24"/>
          <w:szCs w:val="24"/>
        </w:rPr>
        <w:t xml:space="preserve">chairs and </w:t>
      </w:r>
      <w:r w:rsidR="001D622C" w:rsidRPr="004E42C8">
        <w:rPr>
          <w:rFonts w:ascii="Garamond" w:hAnsi="Garamond"/>
          <w:sz w:val="24"/>
          <w:szCs w:val="24"/>
        </w:rPr>
        <w:t>co-chair</w:t>
      </w:r>
      <w:r w:rsidR="0013080B" w:rsidRPr="004E42C8">
        <w:rPr>
          <w:rFonts w:ascii="Garamond" w:hAnsi="Garamond"/>
          <w:sz w:val="24"/>
          <w:szCs w:val="24"/>
        </w:rPr>
        <w:t>s</w:t>
      </w:r>
      <w:r w:rsidR="001D622C" w:rsidRPr="004E42C8">
        <w:rPr>
          <w:rFonts w:ascii="Garamond" w:hAnsi="Garamond"/>
          <w:sz w:val="24"/>
          <w:szCs w:val="24"/>
        </w:rPr>
        <w:t xml:space="preserve"> shall be responsible for </w:t>
      </w:r>
      <w:r w:rsidR="004E42C8">
        <w:rPr>
          <w:rFonts w:ascii="Garamond" w:hAnsi="Garamond"/>
          <w:sz w:val="24"/>
          <w:szCs w:val="24"/>
        </w:rPr>
        <w:t xml:space="preserve">1) </w:t>
      </w:r>
      <w:r>
        <w:rPr>
          <w:rFonts w:ascii="Garamond" w:hAnsi="Garamond"/>
          <w:sz w:val="24"/>
          <w:szCs w:val="24"/>
        </w:rPr>
        <w:t>ensuring the composition of the work group</w:t>
      </w:r>
      <w:r w:rsidR="004C38A6">
        <w:rPr>
          <w:rFonts w:ascii="Garamond" w:hAnsi="Garamond"/>
          <w:sz w:val="24"/>
          <w:szCs w:val="24"/>
        </w:rPr>
        <w:t xml:space="preserve"> is balanced and representative of Chicago’s diverse communities</w:t>
      </w:r>
      <w:r>
        <w:rPr>
          <w:rFonts w:ascii="Garamond" w:hAnsi="Garamond"/>
          <w:sz w:val="24"/>
          <w:szCs w:val="24"/>
        </w:rPr>
        <w:t xml:space="preserve">; 2) </w:t>
      </w:r>
      <w:r w:rsidR="001D622C" w:rsidRPr="004E42C8">
        <w:rPr>
          <w:rFonts w:ascii="Garamond" w:hAnsi="Garamond"/>
          <w:sz w:val="24"/>
          <w:szCs w:val="24"/>
        </w:rPr>
        <w:t xml:space="preserve">sharing information and </w:t>
      </w:r>
      <w:r w:rsidR="001D622C" w:rsidRPr="004E42C8">
        <w:rPr>
          <w:rFonts w:ascii="Garamond" w:hAnsi="Garamond"/>
          <w:sz w:val="24"/>
          <w:szCs w:val="24"/>
        </w:rPr>
        <w:lastRenderedPageBreak/>
        <w:t>guiding discussions</w:t>
      </w:r>
      <w:r w:rsidR="00F35CB9">
        <w:rPr>
          <w:rFonts w:ascii="Garamond" w:hAnsi="Garamond"/>
          <w:sz w:val="24"/>
          <w:szCs w:val="24"/>
        </w:rPr>
        <w:t xml:space="preserve"> about proposed policy</w:t>
      </w:r>
      <w:r w:rsidR="001D622C" w:rsidRPr="004E42C8">
        <w:rPr>
          <w:rFonts w:ascii="Garamond" w:hAnsi="Garamond"/>
          <w:sz w:val="24"/>
          <w:szCs w:val="24"/>
        </w:rPr>
        <w:t>;</w:t>
      </w:r>
      <w:r w:rsidR="00B10FBF" w:rsidRPr="004E42C8">
        <w:rPr>
          <w:rFonts w:ascii="Garamond" w:hAnsi="Garamond"/>
          <w:sz w:val="24"/>
          <w:szCs w:val="24"/>
        </w:rPr>
        <w:t xml:space="preserve"> </w:t>
      </w:r>
      <w:r w:rsidR="0042482F">
        <w:rPr>
          <w:rFonts w:ascii="Garamond" w:hAnsi="Garamond"/>
          <w:sz w:val="24"/>
          <w:szCs w:val="24"/>
        </w:rPr>
        <w:t>3</w:t>
      </w:r>
      <w:r w:rsidR="001D622C" w:rsidRPr="004E42C8">
        <w:rPr>
          <w:rFonts w:ascii="Garamond" w:hAnsi="Garamond"/>
          <w:sz w:val="24"/>
          <w:szCs w:val="24"/>
        </w:rPr>
        <w:t xml:space="preserve">) ensuring that all </w:t>
      </w:r>
      <w:r w:rsidR="00B70334" w:rsidRPr="004E42C8">
        <w:rPr>
          <w:rFonts w:ascii="Garamond" w:hAnsi="Garamond"/>
          <w:sz w:val="24"/>
          <w:szCs w:val="24"/>
        </w:rPr>
        <w:t>Work</w:t>
      </w:r>
      <w:r w:rsidR="00F35CB9">
        <w:rPr>
          <w:rFonts w:ascii="Garamond" w:hAnsi="Garamond"/>
          <w:sz w:val="24"/>
          <w:szCs w:val="24"/>
        </w:rPr>
        <w:t>ing G</w:t>
      </w:r>
      <w:r w:rsidR="00B70334" w:rsidRPr="004E42C8">
        <w:rPr>
          <w:rFonts w:ascii="Garamond" w:hAnsi="Garamond"/>
          <w:sz w:val="24"/>
          <w:szCs w:val="24"/>
        </w:rPr>
        <w:t>roup</w:t>
      </w:r>
      <w:r w:rsidR="001D622C" w:rsidRPr="004E42C8">
        <w:rPr>
          <w:rFonts w:ascii="Garamond" w:hAnsi="Garamond"/>
          <w:sz w:val="24"/>
          <w:szCs w:val="24"/>
        </w:rPr>
        <w:t xml:space="preserve"> members have access to </w:t>
      </w:r>
      <w:r w:rsidR="00CE05C8">
        <w:rPr>
          <w:rFonts w:ascii="Garamond" w:hAnsi="Garamond"/>
          <w:sz w:val="24"/>
          <w:szCs w:val="24"/>
        </w:rPr>
        <w:t xml:space="preserve">the </w:t>
      </w:r>
      <w:r w:rsidR="001D622C" w:rsidRPr="004E42C8">
        <w:rPr>
          <w:rFonts w:ascii="Garamond" w:hAnsi="Garamond"/>
          <w:sz w:val="24"/>
          <w:szCs w:val="24"/>
        </w:rPr>
        <w:t>research and resources needed to</w:t>
      </w:r>
      <w:r w:rsidR="00E23F8D" w:rsidRPr="004E42C8">
        <w:rPr>
          <w:rFonts w:ascii="Garamond" w:hAnsi="Garamond"/>
          <w:sz w:val="24"/>
          <w:szCs w:val="24"/>
        </w:rPr>
        <w:t xml:space="preserve"> fully</w:t>
      </w:r>
      <w:r w:rsidR="001D622C" w:rsidRPr="004E42C8">
        <w:rPr>
          <w:rFonts w:ascii="Garamond" w:hAnsi="Garamond"/>
          <w:sz w:val="24"/>
          <w:szCs w:val="24"/>
        </w:rPr>
        <w:t xml:space="preserve"> participate</w:t>
      </w:r>
      <w:r w:rsidR="00F336CC" w:rsidRPr="004E42C8">
        <w:rPr>
          <w:rFonts w:ascii="Garamond" w:hAnsi="Garamond"/>
          <w:sz w:val="24"/>
          <w:szCs w:val="24"/>
        </w:rPr>
        <w:t xml:space="preserve">; and </w:t>
      </w:r>
      <w:r w:rsidR="0042482F">
        <w:rPr>
          <w:rFonts w:ascii="Garamond" w:hAnsi="Garamond"/>
          <w:sz w:val="24"/>
          <w:szCs w:val="24"/>
        </w:rPr>
        <w:t>4</w:t>
      </w:r>
      <w:r w:rsidR="00F336CC" w:rsidRPr="004E42C8">
        <w:rPr>
          <w:rFonts w:ascii="Garamond" w:hAnsi="Garamond"/>
          <w:sz w:val="24"/>
          <w:szCs w:val="24"/>
        </w:rPr>
        <w:t>) selecting Work</w:t>
      </w:r>
      <w:r w:rsidR="00F35CB9">
        <w:rPr>
          <w:rFonts w:ascii="Garamond" w:hAnsi="Garamond"/>
          <w:sz w:val="24"/>
          <w:szCs w:val="24"/>
        </w:rPr>
        <w:t>ing Gr</w:t>
      </w:r>
      <w:r w:rsidR="00F336CC" w:rsidRPr="004E42C8">
        <w:rPr>
          <w:rFonts w:ascii="Garamond" w:hAnsi="Garamond"/>
          <w:sz w:val="24"/>
          <w:szCs w:val="24"/>
        </w:rPr>
        <w:t xml:space="preserve">oup members from the community to ensure </w:t>
      </w:r>
      <w:r w:rsidR="00CE05C8">
        <w:rPr>
          <w:rFonts w:ascii="Garamond" w:hAnsi="Garamond"/>
          <w:sz w:val="24"/>
          <w:szCs w:val="24"/>
        </w:rPr>
        <w:t>the Group</w:t>
      </w:r>
      <w:r w:rsidR="00F336CC" w:rsidRPr="004E42C8">
        <w:rPr>
          <w:rFonts w:ascii="Garamond" w:hAnsi="Garamond"/>
          <w:sz w:val="24"/>
          <w:szCs w:val="24"/>
        </w:rPr>
        <w:t xml:space="preserve"> is representative of people, including youth, with lived experience</w:t>
      </w:r>
      <w:r w:rsidR="005A58E7" w:rsidRPr="004E42C8">
        <w:rPr>
          <w:rFonts w:ascii="Garamond" w:hAnsi="Garamond"/>
          <w:sz w:val="24"/>
          <w:szCs w:val="24"/>
        </w:rPr>
        <w:t>, as defined in section 2b</w:t>
      </w:r>
      <w:r w:rsidR="00F336CC" w:rsidRPr="004E42C8">
        <w:rPr>
          <w:rFonts w:ascii="Garamond" w:hAnsi="Garamond"/>
          <w:sz w:val="24"/>
          <w:szCs w:val="24"/>
        </w:rPr>
        <w:t xml:space="preserve"> below</w:t>
      </w:r>
      <w:r>
        <w:rPr>
          <w:rFonts w:ascii="Garamond" w:hAnsi="Garamond"/>
          <w:sz w:val="24"/>
          <w:szCs w:val="24"/>
        </w:rPr>
        <w:t>; 5) collaborating with the City on a broader community outreach strategy to ensure that people most affected by the policy revision participate meaningful in this process.</w:t>
      </w:r>
    </w:p>
    <w:p w14:paraId="444A5834" w14:textId="76EB441A" w:rsidR="003B0DB0" w:rsidRPr="004E42C8" w:rsidRDefault="003B0DB0" w:rsidP="004E42C8">
      <w:pPr>
        <w:pStyle w:val="ListParagraph"/>
        <w:numPr>
          <w:ilvl w:val="1"/>
          <w:numId w:val="1"/>
        </w:numPr>
        <w:spacing w:line="480" w:lineRule="auto"/>
        <w:jc w:val="both"/>
        <w:rPr>
          <w:rFonts w:ascii="Garamond" w:hAnsi="Garamond"/>
          <w:b/>
          <w:sz w:val="24"/>
          <w:szCs w:val="24"/>
        </w:rPr>
      </w:pPr>
      <w:r w:rsidRPr="004E42C8">
        <w:rPr>
          <w:rFonts w:ascii="Garamond" w:hAnsi="Garamond"/>
          <w:b/>
          <w:sz w:val="24"/>
          <w:szCs w:val="24"/>
        </w:rPr>
        <w:t xml:space="preserve">Lived experience. </w:t>
      </w:r>
      <w:r w:rsidRPr="004E42C8">
        <w:rPr>
          <w:rFonts w:ascii="Garamond" w:hAnsi="Garamond"/>
          <w:sz w:val="24"/>
          <w:szCs w:val="24"/>
        </w:rPr>
        <w:t xml:space="preserve">Each </w:t>
      </w:r>
      <w:r w:rsidR="00FB4997" w:rsidRPr="004E42C8">
        <w:rPr>
          <w:rFonts w:ascii="Garamond" w:hAnsi="Garamond"/>
          <w:sz w:val="24"/>
          <w:szCs w:val="24"/>
        </w:rPr>
        <w:t>Work</w:t>
      </w:r>
      <w:r w:rsidR="00F35CB9">
        <w:rPr>
          <w:rFonts w:ascii="Garamond" w:hAnsi="Garamond"/>
          <w:sz w:val="24"/>
          <w:szCs w:val="24"/>
        </w:rPr>
        <w:t>ing G</w:t>
      </w:r>
      <w:r w:rsidR="00FB4997" w:rsidRPr="004E42C8">
        <w:rPr>
          <w:rFonts w:ascii="Garamond" w:hAnsi="Garamond"/>
          <w:sz w:val="24"/>
          <w:szCs w:val="24"/>
        </w:rPr>
        <w:t>roup</w:t>
      </w:r>
      <w:r w:rsidRPr="004E42C8">
        <w:rPr>
          <w:rFonts w:ascii="Garamond" w:hAnsi="Garamond"/>
          <w:sz w:val="24"/>
          <w:szCs w:val="24"/>
        </w:rPr>
        <w:t xml:space="preserve"> shall ensure that it is guided by the expertise of people who have experienced police abuse and misconduct. </w:t>
      </w:r>
      <w:r w:rsidR="00CE05C8">
        <w:rPr>
          <w:rFonts w:ascii="Garamond" w:hAnsi="Garamond"/>
          <w:sz w:val="24"/>
          <w:szCs w:val="24"/>
        </w:rPr>
        <w:t xml:space="preserve"> </w:t>
      </w:r>
      <w:r w:rsidRPr="004E42C8">
        <w:rPr>
          <w:rFonts w:ascii="Garamond" w:hAnsi="Garamond"/>
          <w:sz w:val="24"/>
          <w:szCs w:val="24"/>
        </w:rPr>
        <w:t xml:space="preserve">If this expertise is not reflected in the membership of a </w:t>
      </w:r>
      <w:r w:rsidR="00FB4997" w:rsidRPr="004E42C8">
        <w:rPr>
          <w:rFonts w:ascii="Garamond" w:hAnsi="Garamond"/>
          <w:sz w:val="24"/>
          <w:szCs w:val="24"/>
        </w:rPr>
        <w:t>Work</w:t>
      </w:r>
      <w:r w:rsidR="00F35CB9">
        <w:rPr>
          <w:rFonts w:ascii="Garamond" w:hAnsi="Garamond"/>
          <w:sz w:val="24"/>
          <w:szCs w:val="24"/>
        </w:rPr>
        <w:t>ing G</w:t>
      </w:r>
      <w:r w:rsidR="00FB4997" w:rsidRPr="004E42C8">
        <w:rPr>
          <w:rFonts w:ascii="Garamond" w:hAnsi="Garamond"/>
          <w:sz w:val="24"/>
          <w:szCs w:val="24"/>
        </w:rPr>
        <w:t>roup</w:t>
      </w:r>
      <w:r w:rsidRPr="004E42C8">
        <w:rPr>
          <w:rFonts w:ascii="Garamond" w:hAnsi="Garamond"/>
          <w:sz w:val="24"/>
          <w:szCs w:val="24"/>
        </w:rPr>
        <w:t xml:space="preserve">, the </w:t>
      </w:r>
      <w:r w:rsidR="00F35CB9">
        <w:rPr>
          <w:rFonts w:ascii="Garamond" w:hAnsi="Garamond"/>
          <w:sz w:val="24"/>
          <w:szCs w:val="24"/>
        </w:rPr>
        <w:t>Group</w:t>
      </w:r>
      <w:r w:rsidR="00F35CB9" w:rsidRPr="004E42C8">
        <w:rPr>
          <w:rFonts w:ascii="Garamond" w:hAnsi="Garamond"/>
          <w:sz w:val="24"/>
          <w:szCs w:val="24"/>
        </w:rPr>
        <w:t xml:space="preserve"> </w:t>
      </w:r>
      <w:r w:rsidR="00FB4997" w:rsidRPr="004E42C8">
        <w:rPr>
          <w:rFonts w:ascii="Garamond" w:hAnsi="Garamond"/>
          <w:sz w:val="24"/>
          <w:szCs w:val="24"/>
        </w:rPr>
        <w:t>m</w:t>
      </w:r>
      <w:r w:rsidRPr="004E42C8">
        <w:rPr>
          <w:rFonts w:ascii="Garamond" w:hAnsi="Garamond"/>
          <w:sz w:val="24"/>
          <w:szCs w:val="24"/>
        </w:rPr>
        <w:t>embers must seek this expertise prior to issuing any recommendations.</w:t>
      </w:r>
      <w:r w:rsidRPr="004E42C8">
        <w:rPr>
          <w:rFonts w:ascii="Garamond" w:hAnsi="Garamond"/>
          <w:b/>
          <w:sz w:val="24"/>
          <w:szCs w:val="24"/>
        </w:rPr>
        <w:t xml:space="preserve"> </w:t>
      </w:r>
      <w:r w:rsidRPr="004E42C8">
        <w:rPr>
          <w:rFonts w:ascii="Garamond" w:hAnsi="Garamond"/>
          <w:sz w:val="24"/>
          <w:szCs w:val="24"/>
        </w:rPr>
        <w:t xml:space="preserve">Final </w:t>
      </w:r>
      <w:r w:rsidR="00FB4997" w:rsidRPr="004E42C8">
        <w:rPr>
          <w:rFonts w:ascii="Garamond" w:hAnsi="Garamond"/>
          <w:sz w:val="24"/>
          <w:szCs w:val="24"/>
        </w:rPr>
        <w:t>Work</w:t>
      </w:r>
      <w:r w:rsidR="00F35CB9">
        <w:rPr>
          <w:rFonts w:ascii="Garamond" w:hAnsi="Garamond"/>
          <w:sz w:val="24"/>
          <w:szCs w:val="24"/>
        </w:rPr>
        <w:t>ing G</w:t>
      </w:r>
      <w:r w:rsidR="00FB4997" w:rsidRPr="004E42C8">
        <w:rPr>
          <w:rFonts w:ascii="Garamond" w:hAnsi="Garamond"/>
          <w:sz w:val="24"/>
          <w:szCs w:val="24"/>
        </w:rPr>
        <w:t xml:space="preserve">roup </w:t>
      </w:r>
      <w:r w:rsidRPr="004E42C8">
        <w:rPr>
          <w:rFonts w:ascii="Garamond" w:hAnsi="Garamond"/>
          <w:sz w:val="24"/>
          <w:szCs w:val="24"/>
        </w:rPr>
        <w:t xml:space="preserve">recommendations must be accompanied </w:t>
      </w:r>
      <w:r w:rsidR="007F124E" w:rsidRPr="004E42C8">
        <w:rPr>
          <w:rFonts w:ascii="Garamond" w:hAnsi="Garamond"/>
          <w:sz w:val="24"/>
          <w:szCs w:val="24"/>
        </w:rPr>
        <w:t>by a memorandum documenting</w:t>
      </w:r>
      <w:r w:rsidRPr="004E42C8">
        <w:rPr>
          <w:rFonts w:ascii="Garamond" w:hAnsi="Garamond"/>
          <w:sz w:val="24"/>
          <w:szCs w:val="24"/>
        </w:rPr>
        <w:t xml:space="preserve"> how people’s lived experiences with police abuse and misconduct </w:t>
      </w:r>
      <w:r w:rsidR="007F124E" w:rsidRPr="004E42C8">
        <w:rPr>
          <w:rFonts w:ascii="Garamond" w:hAnsi="Garamond"/>
          <w:sz w:val="24"/>
          <w:szCs w:val="24"/>
        </w:rPr>
        <w:t>were incorporated</w:t>
      </w:r>
      <w:r w:rsidR="001D622C" w:rsidRPr="004E42C8">
        <w:rPr>
          <w:rFonts w:ascii="Garamond" w:hAnsi="Garamond"/>
          <w:sz w:val="24"/>
          <w:szCs w:val="24"/>
        </w:rPr>
        <w:t xml:space="preserve"> into the </w:t>
      </w:r>
      <w:r w:rsidR="00E23F8D" w:rsidRPr="004E42C8">
        <w:rPr>
          <w:rFonts w:ascii="Garamond" w:hAnsi="Garamond"/>
          <w:sz w:val="24"/>
          <w:szCs w:val="24"/>
        </w:rPr>
        <w:t xml:space="preserve">final </w:t>
      </w:r>
      <w:r w:rsidR="001D622C" w:rsidRPr="004E42C8">
        <w:rPr>
          <w:rFonts w:ascii="Garamond" w:hAnsi="Garamond"/>
          <w:sz w:val="24"/>
          <w:szCs w:val="24"/>
        </w:rPr>
        <w:t>recommendations</w:t>
      </w:r>
      <w:r w:rsidR="007F124E" w:rsidRPr="004E42C8">
        <w:rPr>
          <w:rFonts w:ascii="Garamond" w:hAnsi="Garamond"/>
          <w:sz w:val="24"/>
          <w:szCs w:val="24"/>
        </w:rPr>
        <w:t xml:space="preserve">. </w:t>
      </w:r>
    </w:p>
    <w:p w14:paraId="7815C636" w14:textId="3C505CC7" w:rsidR="00EA04F2" w:rsidRPr="004E42C8" w:rsidRDefault="00EA04F2" w:rsidP="004E42C8">
      <w:pPr>
        <w:pStyle w:val="ListParagraph"/>
        <w:numPr>
          <w:ilvl w:val="1"/>
          <w:numId w:val="1"/>
        </w:numPr>
        <w:spacing w:line="480" w:lineRule="auto"/>
        <w:jc w:val="both"/>
        <w:rPr>
          <w:rFonts w:ascii="Garamond" w:hAnsi="Garamond"/>
          <w:b/>
          <w:sz w:val="24"/>
          <w:szCs w:val="24"/>
        </w:rPr>
      </w:pPr>
      <w:r w:rsidRPr="004E42C8">
        <w:rPr>
          <w:rFonts w:ascii="Garamond" w:hAnsi="Garamond"/>
          <w:b/>
          <w:sz w:val="24"/>
          <w:szCs w:val="24"/>
        </w:rPr>
        <w:t>Access to City Records and Data.</w:t>
      </w:r>
      <w:r w:rsidRPr="004E42C8">
        <w:rPr>
          <w:rFonts w:ascii="Garamond" w:hAnsi="Garamond"/>
          <w:sz w:val="24"/>
          <w:szCs w:val="24"/>
        </w:rPr>
        <w:t xml:space="preserve">  </w:t>
      </w:r>
      <w:r w:rsidR="008B1190" w:rsidRPr="008B1190">
        <w:rPr>
          <w:rFonts w:ascii="Garamond" w:hAnsi="Garamond"/>
          <w:sz w:val="24"/>
          <w:szCs w:val="24"/>
        </w:rPr>
        <w:t xml:space="preserve">A member of the CPD’s Research and Development unit will </w:t>
      </w:r>
      <w:r w:rsidR="008B1190">
        <w:rPr>
          <w:rFonts w:ascii="Garamond" w:hAnsi="Garamond"/>
          <w:sz w:val="24"/>
          <w:szCs w:val="24"/>
        </w:rPr>
        <w:t>help to staff</w:t>
      </w:r>
      <w:r w:rsidR="008B1190" w:rsidRPr="008B1190">
        <w:rPr>
          <w:rFonts w:ascii="Garamond" w:hAnsi="Garamond"/>
          <w:sz w:val="24"/>
          <w:szCs w:val="24"/>
        </w:rPr>
        <w:t xml:space="preserve"> each working group.</w:t>
      </w:r>
      <w:r w:rsidR="008B1190">
        <w:rPr>
          <w:rFonts w:ascii="Garamond" w:hAnsi="Garamond"/>
          <w:sz w:val="24"/>
          <w:szCs w:val="24"/>
        </w:rPr>
        <w:t xml:space="preserve"> </w:t>
      </w:r>
      <w:r w:rsidRPr="004E42C8">
        <w:rPr>
          <w:rFonts w:ascii="Garamond" w:hAnsi="Garamond"/>
          <w:sz w:val="24"/>
          <w:szCs w:val="24"/>
        </w:rPr>
        <w:t>The City shall provide each Work</w:t>
      </w:r>
      <w:r w:rsidR="00F35CB9">
        <w:rPr>
          <w:rFonts w:ascii="Garamond" w:hAnsi="Garamond"/>
          <w:sz w:val="24"/>
          <w:szCs w:val="24"/>
        </w:rPr>
        <w:t>ing G</w:t>
      </w:r>
      <w:r w:rsidRPr="004E42C8">
        <w:rPr>
          <w:rFonts w:ascii="Garamond" w:hAnsi="Garamond"/>
          <w:sz w:val="24"/>
          <w:szCs w:val="24"/>
        </w:rPr>
        <w:t xml:space="preserve">roup with prompt access to all records, research, and data requested by members of the </w:t>
      </w:r>
      <w:r w:rsidR="00F35CB9">
        <w:rPr>
          <w:rFonts w:ascii="Garamond" w:hAnsi="Garamond"/>
          <w:sz w:val="24"/>
          <w:szCs w:val="24"/>
        </w:rPr>
        <w:t>Group</w:t>
      </w:r>
      <w:r w:rsidR="00F35CB9" w:rsidRPr="004E42C8">
        <w:rPr>
          <w:rFonts w:ascii="Garamond" w:hAnsi="Garamond"/>
          <w:sz w:val="24"/>
          <w:szCs w:val="24"/>
        </w:rPr>
        <w:t xml:space="preserve"> </w:t>
      </w:r>
      <w:r w:rsidRPr="004E42C8">
        <w:rPr>
          <w:rFonts w:ascii="Garamond" w:hAnsi="Garamond"/>
          <w:sz w:val="24"/>
          <w:szCs w:val="24"/>
        </w:rPr>
        <w:t>to enable the Work</w:t>
      </w:r>
      <w:r w:rsidR="00F35CB9">
        <w:rPr>
          <w:rFonts w:ascii="Garamond" w:hAnsi="Garamond"/>
          <w:sz w:val="24"/>
          <w:szCs w:val="24"/>
        </w:rPr>
        <w:t>ing G</w:t>
      </w:r>
      <w:r w:rsidRPr="004E42C8">
        <w:rPr>
          <w:rFonts w:ascii="Garamond" w:hAnsi="Garamond"/>
          <w:sz w:val="24"/>
          <w:szCs w:val="24"/>
        </w:rPr>
        <w:t xml:space="preserve">roup to fulfill its function.   </w:t>
      </w:r>
    </w:p>
    <w:p w14:paraId="732692E9" w14:textId="72042072" w:rsidR="007F124E" w:rsidRPr="004E42C8" w:rsidRDefault="007F124E" w:rsidP="004E42C8">
      <w:pPr>
        <w:pStyle w:val="ListParagraph"/>
        <w:numPr>
          <w:ilvl w:val="1"/>
          <w:numId w:val="1"/>
        </w:numPr>
        <w:spacing w:line="480" w:lineRule="auto"/>
        <w:jc w:val="both"/>
        <w:rPr>
          <w:rFonts w:ascii="Garamond" w:hAnsi="Garamond"/>
          <w:b/>
          <w:sz w:val="24"/>
          <w:szCs w:val="24"/>
        </w:rPr>
      </w:pPr>
      <w:r w:rsidRPr="004E42C8">
        <w:rPr>
          <w:rFonts w:ascii="Garamond" w:hAnsi="Garamond"/>
          <w:b/>
          <w:sz w:val="24"/>
          <w:szCs w:val="24"/>
        </w:rPr>
        <w:t xml:space="preserve">Prior Coalition Recommendations. </w:t>
      </w:r>
      <w:r w:rsidRPr="004E42C8">
        <w:rPr>
          <w:rFonts w:ascii="Garamond" w:hAnsi="Garamond"/>
          <w:sz w:val="24"/>
          <w:szCs w:val="24"/>
        </w:rPr>
        <w:t xml:space="preserve">Whenever applicable, the Parties shall provide </w:t>
      </w:r>
      <w:r w:rsidR="00FB4997" w:rsidRPr="004E42C8">
        <w:rPr>
          <w:rFonts w:ascii="Garamond" w:hAnsi="Garamond"/>
          <w:sz w:val="24"/>
          <w:szCs w:val="24"/>
        </w:rPr>
        <w:t>Work</w:t>
      </w:r>
      <w:r w:rsidR="00F35CB9">
        <w:rPr>
          <w:rFonts w:ascii="Garamond" w:hAnsi="Garamond"/>
          <w:sz w:val="24"/>
          <w:szCs w:val="24"/>
        </w:rPr>
        <w:t>ing G</w:t>
      </w:r>
      <w:r w:rsidR="00FB4997" w:rsidRPr="004E42C8">
        <w:rPr>
          <w:rFonts w:ascii="Garamond" w:hAnsi="Garamond"/>
          <w:sz w:val="24"/>
          <w:szCs w:val="24"/>
        </w:rPr>
        <w:t xml:space="preserve">roup </w:t>
      </w:r>
      <w:r w:rsidRPr="004E42C8">
        <w:rPr>
          <w:rFonts w:ascii="Garamond" w:hAnsi="Garamond"/>
          <w:sz w:val="24"/>
          <w:szCs w:val="24"/>
        </w:rPr>
        <w:t xml:space="preserve">members with the relevant recommendations developed by the Coalition and provided to the </w:t>
      </w:r>
      <w:r w:rsidR="00F35CB9">
        <w:rPr>
          <w:rFonts w:ascii="Garamond" w:hAnsi="Garamond"/>
          <w:sz w:val="24"/>
          <w:szCs w:val="24"/>
        </w:rPr>
        <w:t>Parties</w:t>
      </w:r>
      <w:r w:rsidRPr="004E42C8">
        <w:rPr>
          <w:rFonts w:ascii="Garamond" w:hAnsi="Garamond"/>
          <w:sz w:val="24"/>
          <w:szCs w:val="24"/>
        </w:rPr>
        <w:t xml:space="preserve"> prior to the Consent Decree’s implementation</w:t>
      </w:r>
      <w:r w:rsidR="00F35CB9">
        <w:rPr>
          <w:rFonts w:ascii="Garamond" w:hAnsi="Garamond"/>
          <w:sz w:val="24"/>
          <w:szCs w:val="24"/>
        </w:rPr>
        <w:t xml:space="preserve"> in Spring 2018</w:t>
      </w:r>
      <w:r w:rsidRPr="004E42C8">
        <w:rPr>
          <w:rFonts w:ascii="Garamond" w:hAnsi="Garamond"/>
          <w:sz w:val="24"/>
          <w:szCs w:val="24"/>
        </w:rPr>
        <w:t xml:space="preserve">. </w:t>
      </w:r>
      <w:r w:rsidR="00CE05C8">
        <w:rPr>
          <w:rFonts w:ascii="Garamond" w:hAnsi="Garamond"/>
          <w:sz w:val="24"/>
          <w:szCs w:val="24"/>
        </w:rPr>
        <w:t xml:space="preserve"> </w:t>
      </w:r>
      <w:r w:rsidRPr="004E42C8">
        <w:rPr>
          <w:rFonts w:ascii="Garamond" w:hAnsi="Garamond"/>
          <w:sz w:val="24"/>
          <w:szCs w:val="24"/>
        </w:rPr>
        <w:t xml:space="preserve">These recommendations include, but are not limited to, </w:t>
      </w:r>
      <w:r w:rsidR="00333B5C" w:rsidRPr="004E42C8">
        <w:rPr>
          <w:rFonts w:ascii="Garamond" w:hAnsi="Garamond"/>
          <w:sz w:val="24"/>
          <w:szCs w:val="24"/>
        </w:rPr>
        <w:t xml:space="preserve">relevant </w:t>
      </w:r>
      <w:r w:rsidRPr="004E42C8">
        <w:rPr>
          <w:rFonts w:ascii="Garamond" w:hAnsi="Garamond"/>
          <w:sz w:val="24"/>
          <w:szCs w:val="24"/>
        </w:rPr>
        <w:t xml:space="preserve">excerpts of the “People’s Consent Decree” and excerpts of the </w:t>
      </w:r>
      <w:r w:rsidRPr="00EA77BC">
        <w:rPr>
          <w:rFonts w:ascii="Garamond" w:hAnsi="Garamond"/>
          <w:i/>
          <w:iCs/>
          <w:sz w:val="24"/>
          <w:szCs w:val="24"/>
        </w:rPr>
        <w:t>Campbell</w:t>
      </w:r>
      <w:r w:rsidRPr="004E42C8">
        <w:rPr>
          <w:rFonts w:ascii="Garamond" w:hAnsi="Garamond"/>
          <w:sz w:val="24"/>
          <w:szCs w:val="24"/>
        </w:rPr>
        <w:t xml:space="preserve"> Plaintiffs</w:t>
      </w:r>
      <w:r w:rsidR="00FB4997" w:rsidRPr="004E42C8">
        <w:rPr>
          <w:rFonts w:ascii="Garamond" w:hAnsi="Garamond"/>
          <w:sz w:val="24"/>
          <w:szCs w:val="24"/>
        </w:rPr>
        <w:t>’</w:t>
      </w:r>
      <w:r w:rsidRPr="004E42C8">
        <w:rPr>
          <w:rFonts w:ascii="Garamond" w:hAnsi="Garamond"/>
          <w:sz w:val="24"/>
          <w:szCs w:val="24"/>
        </w:rPr>
        <w:t xml:space="preserve"> </w:t>
      </w:r>
      <w:r w:rsidR="00333B5C" w:rsidRPr="004E42C8">
        <w:rPr>
          <w:rFonts w:ascii="Garamond" w:hAnsi="Garamond"/>
          <w:sz w:val="24"/>
          <w:szCs w:val="24"/>
        </w:rPr>
        <w:t xml:space="preserve">and </w:t>
      </w:r>
      <w:r w:rsidR="00333B5C" w:rsidRPr="00EA77BC">
        <w:rPr>
          <w:rFonts w:ascii="Garamond" w:hAnsi="Garamond"/>
          <w:i/>
          <w:iCs/>
          <w:sz w:val="24"/>
          <w:szCs w:val="24"/>
        </w:rPr>
        <w:t>Communities United</w:t>
      </w:r>
      <w:r w:rsidR="00333B5C" w:rsidRPr="004E42C8">
        <w:rPr>
          <w:rFonts w:ascii="Garamond" w:hAnsi="Garamond"/>
          <w:sz w:val="24"/>
          <w:szCs w:val="24"/>
        </w:rPr>
        <w:t xml:space="preserve"> Plaintiffs </w:t>
      </w:r>
      <w:r w:rsidRPr="004E42C8">
        <w:rPr>
          <w:rFonts w:ascii="Garamond" w:hAnsi="Garamond"/>
          <w:sz w:val="24"/>
          <w:szCs w:val="24"/>
        </w:rPr>
        <w:t>Submission</w:t>
      </w:r>
      <w:r w:rsidR="00333B5C" w:rsidRPr="004E42C8">
        <w:rPr>
          <w:rFonts w:ascii="Garamond" w:hAnsi="Garamond"/>
          <w:sz w:val="24"/>
          <w:szCs w:val="24"/>
        </w:rPr>
        <w:t>s</w:t>
      </w:r>
      <w:r w:rsidRPr="004E42C8">
        <w:rPr>
          <w:rFonts w:ascii="Garamond" w:hAnsi="Garamond"/>
          <w:sz w:val="24"/>
          <w:szCs w:val="24"/>
        </w:rPr>
        <w:t xml:space="preserve"> regarding the </w:t>
      </w:r>
      <w:r w:rsidR="00333B5C" w:rsidRPr="004E42C8">
        <w:rPr>
          <w:rFonts w:ascii="Garamond" w:hAnsi="Garamond"/>
          <w:sz w:val="24"/>
          <w:szCs w:val="24"/>
        </w:rPr>
        <w:t xml:space="preserve">entry of the </w:t>
      </w:r>
      <w:r w:rsidRPr="004E42C8">
        <w:rPr>
          <w:rFonts w:ascii="Garamond" w:hAnsi="Garamond"/>
          <w:sz w:val="24"/>
          <w:szCs w:val="24"/>
        </w:rPr>
        <w:t xml:space="preserve">Consent Decree. </w:t>
      </w:r>
    </w:p>
    <w:p w14:paraId="29DEF48C" w14:textId="1173738E" w:rsidR="007F124E" w:rsidRPr="004E42C8" w:rsidRDefault="007F124E" w:rsidP="004E42C8">
      <w:pPr>
        <w:pStyle w:val="ListParagraph"/>
        <w:numPr>
          <w:ilvl w:val="1"/>
          <w:numId w:val="1"/>
        </w:numPr>
        <w:spacing w:line="480" w:lineRule="auto"/>
        <w:jc w:val="both"/>
        <w:rPr>
          <w:rFonts w:ascii="Garamond" w:hAnsi="Garamond"/>
          <w:b/>
          <w:sz w:val="24"/>
          <w:szCs w:val="24"/>
        </w:rPr>
      </w:pPr>
      <w:r w:rsidRPr="004E42C8">
        <w:rPr>
          <w:rFonts w:ascii="Garamond" w:hAnsi="Garamond"/>
          <w:b/>
          <w:sz w:val="24"/>
          <w:szCs w:val="24"/>
        </w:rPr>
        <w:lastRenderedPageBreak/>
        <w:t>Costs</w:t>
      </w:r>
      <w:r w:rsidR="00A93CB0">
        <w:rPr>
          <w:rFonts w:ascii="Garamond" w:hAnsi="Garamond"/>
          <w:b/>
          <w:sz w:val="24"/>
          <w:szCs w:val="24"/>
        </w:rPr>
        <w:t xml:space="preserve"> and Administrative Support</w:t>
      </w:r>
      <w:r w:rsidRPr="004E42C8">
        <w:rPr>
          <w:rFonts w:ascii="Garamond" w:hAnsi="Garamond"/>
          <w:b/>
          <w:sz w:val="24"/>
          <w:szCs w:val="24"/>
        </w:rPr>
        <w:t xml:space="preserve">. </w:t>
      </w:r>
      <w:r w:rsidRPr="004E42C8">
        <w:rPr>
          <w:rFonts w:ascii="Garamond" w:hAnsi="Garamond"/>
          <w:sz w:val="24"/>
          <w:szCs w:val="24"/>
        </w:rPr>
        <w:t xml:space="preserve">The City of Chicago will pay all costs associated with the </w:t>
      </w:r>
      <w:r w:rsidR="00333B5C" w:rsidRPr="004E42C8">
        <w:rPr>
          <w:rFonts w:ascii="Garamond" w:hAnsi="Garamond"/>
          <w:sz w:val="24"/>
          <w:szCs w:val="24"/>
        </w:rPr>
        <w:t>Work</w:t>
      </w:r>
      <w:r w:rsidR="00F35CB9">
        <w:rPr>
          <w:rFonts w:ascii="Garamond" w:hAnsi="Garamond"/>
          <w:sz w:val="24"/>
          <w:szCs w:val="24"/>
        </w:rPr>
        <w:t>ing G</w:t>
      </w:r>
      <w:r w:rsidR="00333B5C" w:rsidRPr="004E42C8">
        <w:rPr>
          <w:rFonts w:ascii="Garamond" w:hAnsi="Garamond"/>
          <w:sz w:val="24"/>
          <w:szCs w:val="24"/>
        </w:rPr>
        <w:t xml:space="preserve">roup </w:t>
      </w:r>
      <w:r w:rsidRPr="004E42C8">
        <w:rPr>
          <w:rFonts w:ascii="Garamond" w:hAnsi="Garamond"/>
          <w:sz w:val="24"/>
          <w:szCs w:val="24"/>
        </w:rPr>
        <w:t>operations, including, but not limited to, travel</w:t>
      </w:r>
      <w:r w:rsidR="00DE01D7">
        <w:rPr>
          <w:rFonts w:ascii="Garamond" w:hAnsi="Garamond"/>
          <w:sz w:val="24"/>
          <w:szCs w:val="24"/>
        </w:rPr>
        <w:t xml:space="preserve"> and food</w:t>
      </w:r>
      <w:r w:rsidRPr="004E42C8">
        <w:rPr>
          <w:rFonts w:ascii="Garamond" w:hAnsi="Garamond"/>
          <w:sz w:val="24"/>
          <w:szCs w:val="24"/>
        </w:rPr>
        <w:t xml:space="preserve"> stipends for </w:t>
      </w:r>
      <w:r w:rsidR="00333B5C" w:rsidRPr="004E42C8">
        <w:rPr>
          <w:rFonts w:ascii="Garamond" w:hAnsi="Garamond"/>
          <w:sz w:val="24"/>
          <w:szCs w:val="24"/>
        </w:rPr>
        <w:t>Work</w:t>
      </w:r>
      <w:r w:rsidR="00F35CB9">
        <w:rPr>
          <w:rFonts w:ascii="Garamond" w:hAnsi="Garamond"/>
          <w:sz w:val="24"/>
          <w:szCs w:val="24"/>
        </w:rPr>
        <w:t>ing Grou</w:t>
      </w:r>
      <w:r w:rsidR="00333B5C" w:rsidRPr="004E42C8">
        <w:rPr>
          <w:rFonts w:ascii="Garamond" w:hAnsi="Garamond"/>
          <w:sz w:val="24"/>
          <w:szCs w:val="24"/>
        </w:rPr>
        <w:t xml:space="preserve">p </w:t>
      </w:r>
      <w:r w:rsidRPr="004E42C8">
        <w:rPr>
          <w:rFonts w:ascii="Garamond" w:hAnsi="Garamond"/>
          <w:sz w:val="24"/>
          <w:szCs w:val="24"/>
        </w:rPr>
        <w:t xml:space="preserve">members, </w:t>
      </w:r>
      <w:r w:rsidR="001D622C" w:rsidRPr="004E42C8">
        <w:rPr>
          <w:rFonts w:ascii="Garamond" w:hAnsi="Garamond"/>
          <w:sz w:val="24"/>
          <w:szCs w:val="24"/>
        </w:rPr>
        <w:t xml:space="preserve">a Stipend for each </w:t>
      </w:r>
      <w:r w:rsidR="00333B5C" w:rsidRPr="004E42C8">
        <w:rPr>
          <w:rFonts w:ascii="Garamond" w:hAnsi="Garamond"/>
          <w:sz w:val="24"/>
          <w:szCs w:val="24"/>
        </w:rPr>
        <w:t>Work</w:t>
      </w:r>
      <w:r w:rsidR="00F35CB9">
        <w:rPr>
          <w:rFonts w:ascii="Garamond" w:hAnsi="Garamond"/>
          <w:sz w:val="24"/>
          <w:szCs w:val="24"/>
        </w:rPr>
        <w:t>ing G</w:t>
      </w:r>
      <w:r w:rsidR="00333B5C" w:rsidRPr="004E42C8">
        <w:rPr>
          <w:rFonts w:ascii="Garamond" w:hAnsi="Garamond"/>
          <w:sz w:val="24"/>
          <w:szCs w:val="24"/>
        </w:rPr>
        <w:t xml:space="preserve">roup </w:t>
      </w:r>
      <w:r w:rsidR="001D622C" w:rsidRPr="004E42C8">
        <w:rPr>
          <w:rFonts w:ascii="Garamond" w:hAnsi="Garamond"/>
          <w:sz w:val="24"/>
          <w:szCs w:val="24"/>
        </w:rPr>
        <w:t>Co-Chair</w:t>
      </w:r>
      <w:r w:rsidR="00F35CB9">
        <w:rPr>
          <w:rFonts w:ascii="Garamond" w:hAnsi="Garamond"/>
          <w:sz w:val="24"/>
          <w:szCs w:val="24"/>
        </w:rPr>
        <w:t xml:space="preserve">, </w:t>
      </w:r>
      <w:r w:rsidR="001D622C" w:rsidRPr="004E42C8">
        <w:rPr>
          <w:rFonts w:ascii="Garamond" w:hAnsi="Garamond"/>
          <w:sz w:val="24"/>
          <w:szCs w:val="24"/>
        </w:rPr>
        <w:t>who is not an attorney or an employee of the City or State,</w:t>
      </w:r>
      <w:r w:rsidR="00EA77BC">
        <w:rPr>
          <w:rFonts w:ascii="Garamond" w:hAnsi="Garamond"/>
          <w:sz w:val="24"/>
          <w:szCs w:val="24"/>
        </w:rPr>
        <w:t xml:space="preserve"> </w:t>
      </w:r>
      <w:r w:rsidR="001D622C" w:rsidRPr="004E42C8">
        <w:rPr>
          <w:rFonts w:ascii="Garamond" w:hAnsi="Garamond"/>
          <w:sz w:val="24"/>
          <w:szCs w:val="24"/>
        </w:rPr>
        <w:t>and funding for</w:t>
      </w:r>
      <w:r w:rsidR="00EA77BC">
        <w:rPr>
          <w:rFonts w:ascii="Garamond" w:hAnsi="Garamond"/>
          <w:sz w:val="24"/>
          <w:szCs w:val="24"/>
        </w:rPr>
        <w:t xml:space="preserve"> subject area expert consulting fees,</w:t>
      </w:r>
      <w:r w:rsidR="001D622C" w:rsidRPr="004E42C8">
        <w:rPr>
          <w:rFonts w:ascii="Garamond" w:hAnsi="Garamond"/>
          <w:sz w:val="24"/>
          <w:szCs w:val="24"/>
        </w:rPr>
        <w:t xml:space="preserve"> meeting space, </w:t>
      </w:r>
      <w:r w:rsidR="00F35CB9">
        <w:rPr>
          <w:rFonts w:ascii="Garamond" w:hAnsi="Garamond"/>
          <w:sz w:val="24"/>
          <w:szCs w:val="24"/>
        </w:rPr>
        <w:t xml:space="preserve">administrative costs, </w:t>
      </w:r>
      <w:r w:rsidR="001D622C" w:rsidRPr="004E42C8">
        <w:rPr>
          <w:rFonts w:ascii="Garamond" w:hAnsi="Garamond"/>
          <w:sz w:val="24"/>
          <w:szCs w:val="24"/>
        </w:rPr>
        <w:t>office supplies and meetin</w:t>
      </w:r>
      <w:r w:rsidR="00F35CB9">
        <w:rPr>
          <w:rFonts w:ascii="Garamond" w:hAnsi="Garamond"/>
          <w:sz w:val="24"/>
          <w:szCs w:val="24"/>
        </w:rPr>
        <w:t>g-</w:t>
      </w:r>
      <w:r w:rsidR="001D622C" w:rsidRPr="004E42C8">
        <w:rPr>
          <w:rFonts w:ascii="Garamond" w:hAnsi="Garamond"/>
          <w:sz w:val="24"/>
          <w:szCs w:val="24"/>
        </w:rPr>
        <w:t xml:space="preserve">related food and beverages. </w:t>
      </w:r>
      <w:r w:rsidR="00A93CB0">
        <w:rPr>
          <w:rFonts w:ascii="Garamond" w:hAnsi="Garamond"/>
          <w:sz w:val="24"/>
          <w:szCs w:val="24"/>
        </w:rPr>
        <w:t>Further, the city will designate staff resources sufficient to provide administrative support for each Working Group.</w:t>
      </w:r>
    </w:p>
    <w:p w14:paraId="69587B18" w14:textId="4493D5A8" w:rsidR="007F124E" w:rsidRPr="00325883" w:rsidRDefault="007F124E" w:rsidP="004E42C8">
      <w:pPr>
        <w:pStyle w:val="ListParagraph"/>
        <w:numPr>
          <w:ilvl w:val="1"/>
          <w:numId w:val="1"/>
        </w:numPr>
        <w:spacing w:line="480" w:lineRule="auto"/>
        <w:jc w:val="both"/>
        <w:rPr>
          <w:rFonts w:ascii="Garamond" w:hAnsi="Garamond"/>
          <w:b/>
          <w:sz w:val="24"/>
          <w:szCs w:val="24"/>
        </w:rPr>
      </w:pPr>
      <w:r w:rsidRPr="004E42C8">
        <w:rPr>
          <w:rFonts w:ascii="Garamond" w:hAnsi="Garamond"/>
          <w:b/>
          <w:sz w:val="24"/>
          <w:szCs w:val="24"/>
        </w:rPr>
        <w:t>Time Frame</w:t>
      </w:r>
      <w:r w:rsidR="00B70334" w:rsidRPr="004E42C8">
        <w:rPr>
          <w:rFonts w:ascii="Garamond" w:hAnsi="Garamond"/>
          <w:b/>
          <w:sz w:val="24"/>
          <w:szCs w:val="24"/>
        </w:rPr>
        <w:t>.</w:t>
      </w:r>
      <w:r w:rsidRPr="004E42C8">
        <w:rPr>
          <w:rFonts w:ascii="Garamond" w:hAnsi="Garamond"/>
          <w:b/>
          <w:sz w:val="24"/>
          <w:szCs w:val="24"/>
        </w:rPr>
        <w:t xml:space="preserve"> </w:t>
      </w:r>
      <w:r w:rsidRPr="004E42C8">
        <w:rPr>
          <w:rFonts w:ascii="Garamond" w:hAnsi="Garamond"/>
          <w:sz w:val="24"/>
          <w:szCs w:val="24"/>
        </w:rPr>
        <w:t>Each Work</w:t>
      </w:r>
      <w:r w:rsidR="00F35CB9">
        <w:rPr>
          <w:rFonts w:ascii="Garamond" w:hAnsi="Garamond"/>
          <w:sz w:val="24"/>
          <w:szCs w:val="24"/>
        </w:rPr>
        <w:t>ing G</w:t>
      </w:r>
      <w:r w:rsidRPr="004E42C8">
        <w:rPr>
          <w:rFonts w:ascii="Garamond" w:hAnsi="Garamond"/>
          <w:sz w:val="24"/>
          <w:szCs w:val="24"/>
        </w:rPr>
        <w:t>roup shall adhere to the following timeframe</w:t>
      </w:r>
      <w:r w:rsidR="00F35CB9">
        <w:rPr>
          <w:rFonts w:ascii="Garamond" w:hAnsi="Garamond"/>
          <w:sz w:val="24"/>
          <w:szCs w:val="24"/>
        </w:rPr>
        <w:t>, unless there is good cause for altering the schedule:</w:t>
      </w:r>
      <w:r w:rsidRPr="004E42C8">
        <w:rPr>
          <w:rFonts w:ascii="Garamond" w:hAnsi="Garamond"/>
          <w:sz w:val="24"/>
          <w:szCs w:val="24"/>
        </w:rPr>
        <w:t xml:space="preserve"> 1)</w:t>
      </w:r>
      <w:r w:rsidR="00B70334" w:rsidRPr="004E42C8">
        <w:rPr>
          <w:rFonts w:ascii="Garamond" w:hAnsi="Garamond"/>
          <w:sz w:val="24"/>
          <w:szCs w:val="24"/>
        </w:rPr>
        <w:t xml:space="preserve"> </w:t>
      </w:r>
      <w:r w:rsidRPr="004E42C8">
        <w:rPr>
          <w:rFonts w:ascii="Garamond" w:hAnsi="Garamond"/>
          <w:sz w:val="24"/>
          <w:szCs w:val="24"/>
        </w:rPr>
        <w:t>within 3 months of formation</w:t>
      </w:r>
      <w:r w:rsidR="00F35CB9">
        <w:rPr>
          <w:rFonts w:ascii="Garamond" w:hAnsi="Garamond"/>
          <w:sz w:val="24"/>
          <w:szCs w:val="24"/>
        </w:rPr>
        <w:t>, the Group will</w:t>
      </w:r>
      <w:r w:rsidRPr="004E42C8">
        <w:rPr>
          <w:rFonts w:ascii="Garamond" w:hAnsi="Garamond"/>
          <w:sz w:val="24"/>
          <w:szCs w:val="24"/>
        </w:rPr>
        <w:t xml:space="preserve"> issue initial recommendations; 2) within 6 months of formatio</w:t>
      </w:r>
      <w:r w:rsidR="00F35CB9">
        <w:rPr>
          <w:rFonts w:ascii="Garamond" w:hAnsi="Garamond"/>
          <w:sz w:val="24"/>
          <w:szCs w:val="24"/>
        </w:rPr>
        <w:t>n, the Group</w:t>
      </w:r>
      <w:r w:rsidRPr="004E42C8">
        <w:rPr>
          <w:rFonts w:ascii="Garamond" w:hAnsi="Garamond"/>
          <w:sz w:val="24"/>
          <w:szCs w:val="24"/>
        </w:rPr>
        <w:t xml:space="preserve"> issue final recommendations. </w:t>
      </w:r>
      <w:r w:rsidR="00F35CB9">
        <w:rPr>
          <w:rFonts w:ascii="Garamond" w:hAnsi="Garamond"/>
          <w:sz w:val="24"/>
          <w:szCs w:val="24"/>
        </w:rPr>
        <w:t xml:space="preserve"> If the Parties </w:t>
      </w:r>
      <w:r w:rsidR="00CE05C8">
        <w:rPr>
          <w:rFonts w:ascii="Garamond" w:hAnsi="Garamond"/>
          <w:sz w:val="24"/>
          <w:szCs w:val="24"/>
        </w:rPr>
        <w:t>and/or the</w:t>
      </w:r>
      <w:r w:rsidR="00F35CB9">
        <w:rPr>
          <w:rFonts w:ascii="Garamond" w:hAnsi="Garamond"/>
          <w:sz w:val="24"/>
          <w:szCs w:val="24"/>
        </w:rPr>
        <w:t xml:space="preserve"> Coalition believe there is good cause for altering the schedule, they will so state in writing.  The Parties and Coalition must agree </w:t>
      </w:r>
      <w:r w:rsidR="00CE05C8">
        <w:rPr>
          <w:rFonts w:ascii="Garamond" w:hAnsi="Garamond"/>
          <w:sz w:val="24"/>
          <w:szCs w:val="24"/>
        </w:rPr>
        <w:t>to</w:t>
      </w:r>
      <w:r w:rsidR="00F35CB9">
        <w:rPr>
          <w:rFonts w:ascii="Garamond" w:hAnsi="Garamond"/>
          <w:sz w:val="24"/>
          <w:szCs w:val="24"/>
        </w:rPr>
        <w:t xml:space="preserve"> the altered schedule before it can be implemented. </w:t>
      </w:r>
    </w:p>
    <w:p w14:paraId="76787761" w14:textId="2915EBA6" w:rsidR="00325883" w:rsidRPr="004E42C8" w:rsidRDefault="00AC3533" w:rsidP="004E42C8">
      <w:pPr>
        <w:pStyle w:val="ListParagraph"/>
        <w:numPr>
          <w:ilvl w:val="1"/>
          <w:numId w:val="1"/>
        </w:numPr>
        <w:spacing w:line="480" w:lineRule="auto"/>
        <w:jc w:val="both"/>
        <w:rPr>
          <w:rFonts w:ascii="Garamond" w:hAnsi="Garamond"/>
          <w:b/>
          <w:sz w:val="24"/>
          <w:szCs w:val="24"/>
        </w:rPr>
      </w:pPr>
      <w:r>
        <w:rPr>
          <w:rFonts w:ascii="Garamond" w:hAnsi="Garamond"/>
          <w:b/>
          <w:sz w:val="24"/>
          <w:szCs w:val="24"/>
        </w:rPr>
        <w:t xml:space="preserve">Monthly Meetings. </w:t>
      </w:r>
      <w:r>
        <w:rPr>
          <w:rFonts w:ascii="Garamond" w:hAnsi="Garamond"/>
          <w:bCs/>
          <w:sz w:val="24"/>
          <w:szCs w:val="24"/>
        </w:rPr>
        <w:t xml:space="preserve">On a monthly basis, the Working Group Chairs will meet </w:t>
      </w:r>
      <w:proofErr w:type="gramStart"/>
      <w:r>
        <w:rPr>
          <w:rFonts w:ascii="Garamond" w:hAnsi="Garamond"/>
          <w:bCs/>
          <w:sz w:val="24"/>
          <w:szCs w:val="24"/>
        </w:rPr>
        <w:t>with  individuals</w:t>
      </w:r>
      <w:proofErr w:type="gramEnd"/>
      <w:r>
        <w:rPr>
          <w:rFonts w:ascii="Garamond" w:hAnsi="Garamond"/>
          <w:bCs/>
          <w:sz w:val="24"/>
          <w:szCs w:val="24"/>
        </w:rPr>
        <w:t xml:space="preserve"> leading the consent decree implementation efforts. These monthly meetings will include representatives with requisite knowledge from the City of Chicago, the Chicago Police Department, the Office of the Illinois Attorney General and the Coalition. </w:t>
      </w:r>
      <w:r w:rsidR="00A96BD3">
        <w:rPr>
          <w:rFonts w:ascii="Garamond" w:hAnsi="Garamond"/>
          <w:bCs/>
          <w:sz w:val="24"/>
          <w:szCs w:val="24"/>
        </w:rPr>
        <w:t xml:space="preserve">The purpose of these meetings is to ensure </w:t>
      </w:r>
      <w:r w:rsidR="00CE286E">
        <w:rPr>
          <w:rFonts w:ascii="Garamond" w:hAnsi="Garamond"/>
          <w:bCs/>
          <w:sz w:val="24"/>
          <w:szCs w:val="24"/>
        </w:rPr>
        <w:t xml:space="preserve">that the working group process is proceeding as described in this MOA and to collectively redress any barriers to implementation. </w:t>
      </w:r>
    </w:p>
    <w:p w14:paraId="5918D453" w14:textId="40F34163" w:rsidR="0025689E" w:rsidRPr="00EA77BC" w:rsidRDefault="00333B5C" w:rsidP="00EA77BC">
      <w:pPr>
        <w:pStyle w:val="ListParagraph"/>
        <w:numPr>
          <w:ilvl w:val="1"/>
          <w:numId w:val="1"/>
        </w:numPr>
        <w:spacing w:line="480" w:lineRule="auto"/>
        <w:jc w:val="both"/>
        <w:rPr>
          <w:rFonts w:ascii="Garamond" w:hAnsi="Garamond"/>
          <w:b/>
          <w:sz w:val="24"/>
          <w:szCs w:val="24"/>
        </w:rPr>
      </w:pPr>
      <w:r w:rsidRPr="00887552">
        <w:rPr>
          <w:rFonts w:ascii="Garamond" w:hAnsi="Garamond"/>
          <w:b/>
          <w:sz w:val="24"/>
          <w:szCs w:val="24"/>
        </w:rPr>
        <w:t>Workg</w:t>
      </w:r>
      <w:r w:rsidR="001D622C" w:rsidRPr="00887552">
        <w:rPr>
          <w:rFonts w:ascii="Garamond" w:hAnsi="Garamond"/>
          <w:b/>
          <w:sz w:val="24"/>
          <w:szCs w:val="24"/>
        </w:rPr>
        <w:t xml:space="preserve">roup Recommendations. </w:t>
      </w:r>
      <w:r w:rsidR="001D622C" w:rsidRPr="00887552">
        <w:rPr>
          <w:rFonts w:ascii="Garamond" w:hAnsi="Garamond"/>
          <w:sz w:val="24"/>
          <w:szCs w:val="24"/>
        </w:rPr>
        <w:t xml:space="preserve"> </w:t>
      </w:r>
      <w:r w:rsidR="00887552">
        <w:rPr>
          <w:rFonts w:ascii="Garamond" w:hAnsi="Garamond"/>
          <w:sz w:val="24"/>
          <w:szCs w:val="24"/>
        </w:rPr>
        <w:t xml:space="preserve">The Parties agree to submit all workgroup final recommendations to the independent monitor for approval. To the extent that any Party disagrees with the monitor’s decision, that Party may request that the monitor reconsider. If, after the monitor’s reconsideration, any party remains unsatisfied with </w:t>
      </w:r>
      <w:r w:rsidR="00887552">
        <w:rPr>
          <w:rFonts w:ascii="Garamond" w:hAnsi="Garamond"/>
          <w:sz w:val="24"/>
          <w:szCs w:val="24"/>
        </w:rPr>
        <w:lastRenderedPageBreak/>
        <w:t xml:space="preserve">the monitor’s decision, the Party may notify the court. </w:t>
      </w:r>
      <w:r w:rsidR="00887552" w:rsidRPr="004E42C8">
        <w:rPr>
          <w:rFonts w:ascii="Garamond" w:hAnsi="Garamond"/>
          <w:sz w:val="24"/>
          <w:szCs w:val="24"/>
        </w:rPr>
        <w:t xml:space="preserve">The proposed policies </w:t>
      </w:r>
      <w:r w:rsidR="00887552">
        <w:rPr>
          <w:rFonts w:ascii="Garamond" w:hAnsi="Garamond"/>
          <w:sz w:val="24"/>
          <w:szCs w:val="24"/>
        </w:rPr>
        <w:t xml:space="preserve">and practices </w:t>
      </w:r>
      <w:r w:rsidR="00887552" w:rsidRPr="004E42C8">
        <w:rPr>
          <w:rFonts w:ascii="Garamond" w:hAnsi="Garamond"/>
          <w:sz w:val="24"/>
          <w:szCs w:val="24"/>
        </w:rPr>
        <w:t>that result from the Work</w:t>
      </w:r>
      <w:r w:rsidR="00887552">
        <w:rPr>
          <w:rFonts w:ascii="Garamond" w:hAnsi="Garamond"/>
          <w:sz w:val="24"/>
          <w:szCs w:val="24"/>
        </w:rPr>
        <w:t>ing G</w:t>
      </w:r>
      <w:r w:rsidR="00887552" w:rsidRPr="004E42C8">
        <w:rPr>
          <w:rFonts w:ascii="Garamond" w:hAnsi="Garamond"/>
          <w:sz w:val="24"/>
          <w:szCs w:val="24"/>
        </w:rPr>
        <w:t>roup process that relate to the Consent Decree shall then be subject to the procedures outlined in paragraphs 626-637 of the Decree, Review of CPD Policies and Procedures.</w:t>
      </w:r>
      <w:r w:rsidR="00887552" w:rsidRPr="004E42C8" w:rsidDel="00770505">
        <w:rPr>
          <w:rFonts w:ascii="Garamond" w:hAnsi="Garamond"/>
          <w:sz w:val="24"/>
          <w:szCs w:val="24"/>
        </w:rPr>
        <w:t xml:space="preserve"> </w:t>
      </w:r>
    </w:p>
    <w:p w14:paraId="32C1B4EB" w14:textId="77777777" w:rsidR="005C7DD5" w:rsidRPr="004E42C8" w:rsidRDefault="005C7DD5" w:rsidP="00EA77BC">
      <w:pPr>
        <w:spacing w:after="0" w:line="480" w:lineRule="auto"/>
        <w:ind w:firstLine="720"/>
        <w:jc w:val="both"/>
        <w:rPr>
          <w:rFonts w:ascii="Garamond" w:hAnsi="Garamond"/>
          <w:sz w:val="24"/>
          <w:szCs w:val="24"/>
        </w:rPr>
      </w:pPr>
      <w:r w:rsidRPr="004E42C8">
        <w:rPr>
          <w:rFonts w:ascii="Garamond" w:hAnsi="Garamond"/>
          <w:sz w:val="24"/>
          <w:szCs w:val="24"/>
        </w:rPr>
        <w:t xml:space="preserve">By signing this MOA, each party represents it is fully authorized to </w:t>
      </w:r>
      <w:proofErr w:type="gramStart"/>
      <w:r w:rsidRPr="004E42C8">
        <w:rPr>
          <w:rFonts w:ascii="Garamond" w:hAnsi="Garamond"/>
          <w:sz w:val="24"/>
          <w:szCs w:val="24"/>
        </w:rPr>
        <w:t>enter into</w:t>
      </w:r>
      <w:proofErr w:type="gramEnd"/>
      <w:r w:rsidRPr="004E42C8">
        <w:rPr>
          <w:rFonts w:ascii="Garamond" w:hAnsi="Garamond"/>
          <w:sz w:val="24"/>
          <w:szCs w:val="24"/>
        </w:rPr>
        <w:t xml:space="preserve"> this MOA and accepts the terms, responsibilities, obligations and limitations of this MOA. </w:t>
      </w:r>
    </w:p>
    <w:p w14:paraId="4C467596" w14:textId="77777777" w:rsidR="005C7DD5" w:rsidRPr="004E42C8" w:rsidRDefault="005C7DD5" w:rsidP="004E42C8">
      <w:pPr>
        <w:spacing w:line="240" w:lineRule="auto"/>
        <w:rPr>
          <w:rFonts w:ascii="Garamond" w:hAnsi="Garamond"/>
          <w:sz w:val="24"/>
          <w:szCs w:val="24"/>
        </w:rPr>
      </w:pPr>
    </w:p>
    <w:p w14:paraId="4619E0A5" w14:textId="77777777" w:rsidR="005C7DD5" w:rsidRPr="004E42C8" w:rsidRDefault="005C7DD5" w:rsidP="004E42C8">
      <w:pPr>
        <w:spacing w:line="240" w:lineRule="auto"/>
        <w:rPr>
          <w:rFonts w:ascii="Garamond" w:hAnsi="Garamond"/>
          <w:sz w:val="24"/>
          <w:szCs w:val="24"/>
        </w:rPr>
      </w:pPr>
      <w:r w:rsidRPr="004E42C8">
        <w:rPr>
          <w:rFonts w:ascii="Garamond" w:hAnsi="Garamond"/>
          <w:sz w:val="24"/>
          <w:szCs w:val="24"/>
        </w:rPr>
        <w:t>For the Office of the Illinois Attorney General:</w:t>
      </w:r>
      <w:r w:rsidRPr="004E42C8">
        <w:rPr>
          <w:rFonts w:ascii="Garamond" w:hAnsi="Garamond"/>
          <w:sz w:val="24"/>
          <w:szCs w:val="24"/>
        </w:rPr>
        <w:tab/>
      </w:r>
      <w:r w:rsidRPr="004E42C8">
        <w:rPr>
          <w:rFonts w:ascii="Garamond" w:hAnsi="Garamond"/>
          <w:sz w:val="24"/>
          <w:szCs w:val="24"/>
        </w:rPr>
        <w:tab/>
        <w:t xml:space="preserve">For the City of Chicago: </w:t>
      </w:r>
    </w:p>
    <w:p w14:paraId="69CBFC05" w14:textId="77777777" w:rsidR="005C7DD5" w:rsidRPr="004E42C8" w:rsidRDefault="005C7DD5" w:rsidP="004E42C8">
      <w:pPr>
        <w:spacing w:after="0" w:line="240" w:lineRule="auto"/>
        <w:rPr>
          <w:rFonts w:ascii="Garamond" w:hAnsi="Garamond"/>
          <w:sz w:val="24"/>
          <w:szCs w:val="24"/>
        </w:rPr>
      </w:pPr>
    </w:p>
    <w:p w14:paraId="5190431A" w14:textId="77777777" w:rsidR="005C7DD5" w:rsidRPr="004E42C8" w:rsidRDefault="005C7DD5" w:rsidP="004E42C8">
      <w:pPr>
        <w:spacing w:after="0" w:line="240" w:lineRule="auto"/>
        <w:rPr>
          <w:rFonts w:ascii="Garamond" w:hAnsi="Garamond"/>
          <w:sz w:val="24"/>
          <w:szCs w:val="24"/>
        </w:rPr>
      </w:pPr>
      <w:r w:rsidRPr="004E42C8">
        <w:rPr>
          <w:rFonts w:ascii="Garamond" w:hAnsi="Garamond"/>
          <w:sz w:val="24"/>
          <w:szCs w:val="24"/>
        </w:rPr>
        <w:t>By: __________________________________</w:t>
      </w:r>
      <w:r w:rsidRPr="004E42C8">
        <w:rPr>
          <w:rFonts w:ascii="Garamond" w:hAnsi="Garamond"/>
          <w:sz w:val="24"/>
          <w:szCs w:val="24"/>
        </w:rPr>
        <w:tab/>
        <w:t>______________________________</w:t>
      </w:r>
    </w:p>
    <w:p w14:paraId="266B1CE1" w14:textId="77777777" w:rsidR="005C7DD5" w:rsidRPr="004E42C8" w:rsidRDefault="005C7DD5" w:rsidP="004E42C8">
      <w:pPr>
        <w:spacing w:after="0" w:line="240" w:lineRule="auto"/>
        <w:rPr>
          <w:rFonts w:ascii="Garamond" w:hAnsi="Garamond"/>
          <w:sz w:val="24"/>
          <w:szCs w:val="24"/>
        </w:rPr>
      </w:pPr>
      <w:r w:rsidRPr="004E42C8">
        <w:rPr>
          <w:rFonts w:ascii="Garamond" w:hAnsi="Garamond"/>
          <w:sz w:val="24"/>
          <w:szCs w:val="24"/>
        </w:rPr>
        <w:t>[Name and Title]</w:t>
      </w: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t xml:space="preserve">Allan T. </w:t>
      </w:r>
      <w:proofErr w:type="spellStart"/>
      <w:r w:rsidRPr="004E42C8">
        <w:rPr>
          <w:rFonts w:ascii="Garamond" w:hAnsi="Garamond"/>
          <w:sz w:val="24"/>
          <w:szCs w:val="24"/>
        </w:rPr>
        <w:t>Slagel</w:t>
      </w:r>
      <w:proofErr w:type="spellEnd"/>
    </w:p>
    <w:p w14:paraId="763FB4CF" w14:textId="77777777" w:rsidR="005C7DD5" w:rsidRPr="004E42C8" w:rsidRDefault="005C7DD5" w:rsidP="004E42C8">
      <w:pPr>
        <w:spacing w:after="0" w:line="240" w:lineRule="auto"/>
        <w:rPr>
          <w:rFonts w:ascii="Garamond" w:hAnsi="Garamond"/>
          <w:sz w:val="24"/>
          <w:szCs w:val="24"/>
        </w:rPr>
      </w:pP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t xml:space="preserve">Taft Stettinius &amp; Hollister LLP </w:t>
      </w:r>
    </w:p>
    <w:p w14:paraId="05085793" w14:textId="6E8CFC72" w:rsidR="005C7DD5" w:rsidRPr="004E42C8" w:rsidRDefault="005C7DD5" w:rsidP="004E42C8">
      <w:pPr>
        <w:spacing w:after="0" w:line="240" w:lineRule="auto"/>
        <w:rPr>
          <w:rFonts w:ascii="Garamond" w:hAnsi="Garamond"/>
          <w:sz w:val="24"/>
          <w:szCs w:val="24"/>
        </w:rPr>
      </w:pPr>
      <w:r w:rsidRPr="004E42C8">
        <w:rPr>
          <w:rFonts w:ascii="Garamond" w:hAnsi="Garamond"/>
          <w:sz w:val="24"/>
          <w:szCs w:val="24"/>
        </w:rPr>
        <w:t>Office of the Illinois Attorney General</w:t>
      </w: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r>
      <w:r w:rsidR="004E42C8" w:rsidRPr="004E42C8">
        <w:rPr>
          <w:rFonts w:ascii="Garamond" w:hAnsi="Garamond"/>
          <w:sz w:val="24"/>
          <w:szCs w:val="24"/>
        </w:rPr>
        <w:tab/>
      </w:r>
      <w:r w:rsidRPr="004E42C8">
        <w:rPr>
          <w:rFonts w:ascii="Garamond" w:hAnsi="Garamond"/>
          <w:sz w:val="24"/>
          <w:szCs w:val="24"/>
        </w:rPr>
        <w:t>111 E. Wacker Drive, Suite 2800</w:t>
      </w:r>
    </w:p>
    <w:p w14:paraId="2C1444F2" w14:textId="77777777" w:rsidR="005C7DD5" w:rsidRPr="004E42C8" w:rsidRDefault="005C7DD5" w:rsidP="004E42C8">
      <w:pPr>
        <w:spacing w:after="0" w:line="240" w:lineRule="auto"/>
        <w:rPr>
          <w:rFonts w:ascii="Garamond" w:hAnsi="Garamond"/>
          <w:sz w:val="24"/>
          <w:szCs w:val="24"/>
        </w:rPr>
      </w:pPr>
      <w:r w:rsidRPr="004E42C8">
        <w:rPr>
          <w:rFonts w:ascii="Garamond" w:hAnsi="Garamond"/>
          <w:sz w:val="24"/>
          <w:szCs w:val="24"/>
        </w:rPr>
        <w:t>100 West Randolph Street, 12th Floor</w:t>
      </w: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t>Chicago, Illinois 60601</w:t>
      </w:r>
    </w:p>
    <w:p w14:paraId="20A5C7A4" w14:textId="77777777" w:rsidR="005C7DD5" w:rsidRPr="004E42C8" w:rsidRDefault="005C7DD5" w:rsidP="004E42C8">
      <w:pPr>
        <w:spacing w:after="0" w:line="240" w:lineRule="auto"/>
        <w:rPr>
          <w:rFonts w:ascii="Garamond" w:hAnsi="Garamond"/>
          <w:sz w:val="24"/>
          <w:szCs w:val="24"/>
        </w:rPr>
      </w:pPr>
      <w:r w:rsidRPr="004E42C8">
        <w:rPr>
          <w:rFonts w:ascii="Garamond" w:hAnsi="Garamond"/>
          <w:sz w:val="24"/>
          <w:szCs w:val="24"/>
        </w:rPr>
        <w:t>Chicago, Illinois 60601</w:t>
      </w: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r>
    </w:p>
    <w:p w14:paraId="12E89C3F" w14:textId="77777777" w:rsidR="005C7DD5" w:rsidRPr="004E42C8" w:rsidRDefault="005C7DD5" w:rsidP="004E42C8">
      <w:pPr>
        <w:spacing w:after="0" w:line="240" w:lineRule="auto"/>
        <w:rPr>
          <w:rFonts w:ascii="Garamond" w:hAnsi="Garamond"/>
          <w:sz w:val="24"/>
          <w:szCs w:val="24"/>
        </w:rPr>
      </w:pPr>
      <w:r w:rsidRPr="004E42C8">
        <w:rPr>
          <w:rFonts w:ascii="Garamond" w:hAnsi="Garamond"/>
          <w:sz w:val="24"/>
          <w:szCs w:val="24"/>
        </w:rPr>
        <w:tab/>
      </w:r>
    </w:p>
    <w:p w14:paraId="00BEE32C" w14:textId="77777777" w:rsidR="005C7DD5" w:rsidRPr="004E42C8" w:rsidRDefault="005C7DD5" w:rsidP="004E42C8">
      <w:pPr>
        <w:spacing w:line="240" w:lineRule="auto"/>
        <w:rPr>
          <w:rFonts w:ascii="Garamond" w:hAnsi="Garamond"/>
          <w:sz w:val="24"/>
          <w:szCs w:val="24"/>
        </w:rPr>
      </w:pPr>
      <w:r w:rsidRPr="004E42C8">
        <w:rPr>
          <w:rFonts w:ascii="Garamond" w:hAnsi="Garamond"/>
          <w:sz w:val="24"/>
          <w:szCs w:val="24"/>
        </w:rPr>
        <w:t xml:space="preserve">For </w:t>
      </w:r>
      <w:r w:rsidRPr="004E42C8">
        <w:rPr>
          <w:rFonts w:ascii="Garamond" w:hAnsi="Garamond"/>
          <w:i/>
          <w:sz w:val="24"/>
          <w:szCs w:val="24"/>
        </w:rPr>
        <w:t>Campbell v. City of Chicago Plaintiffs</w:t>
      </w:r>
      <w:r w:rsidRPr="004E42C8">
        <w:rPr>
          <w:rFonts w:ascii="Garamond" w:hAnsi="Garamond"/>
          <w:sz w:val="24"/>
          <w:szCs w:val="24"/>
        </w:rPr>
        <w:t>:</w:t>
      </w:r>
    </w:p>
    <w:p w14:paraId="361DD0FF" w14:textId="77777777" w:rsidR="005C7DD5" w:rsidRPr="004E42C8" w:rsidRDefault="005C7DD5" w:rsidP="004E42C8">
      <w:pPr>
        <w:spacing w:line="240" w:lineRule="auto"/>
        <w:rPr>
          <w:rFonts w:ascii="Garamond" w:hAnsi="Garamond"/>
          <w:sz w:val="24"/>
          <w:szCs w:val="24"/>
        </w:rPr>
      </w:pPr>
    </w:p>
    <w:p w14:paraId="30E7A174" w14:textId="77777777" w:rsidR="005C7DD5" w:rsidRPr="004E42C8" w:rsidRDefault="005C7DD5" w:rsidP="004E42C8">
      <w:pPr>
        <w:spacing w:after="0" w:line="240" w:lineRule="auto"/>
        <w:contextualSpacing/>
        <w:rPr>
          <w:rFonts w:ascii="Garamond" w:hAnsi="Garamond"/>
          <w:sz w:val="24"/>
          <w:szCs w:val="24"/>
        </w:rPr>
      </w:pPr>
      <w:r w:rsidRPr="004E42C8">
        <w:rPr>
          <w:rFonts w:ascii="Garamond" w:hAnsi="Garamond"/>
          <w:sz w:val="24"/>
          <w:szCs w:val="24"/>
        </w:rPr>
        <w:t>__________________________________</w:t>
      </w: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r>
    </w:p>
    <w:p w14:paraId="4129A3C6" w14:textId="77777777" w:rsidR="005C7DD5" w:rsidRPr="004E42C8" w:rsidRDefault="005C7DD5" w:rsidP="004E42C8">
      <w:pPr>
        <w:spacing w:after="0" w:line="240" w:lineRule="auto"/>
        <w:contextualSpacing/>
        <w:rPr>
          <w:rFonts w:ascii="Garamond" w:hAnsi="Garamond"/>
          <w:sz w:val="24"/>
          <w:szCs w:val="24"/>
        </w:rPr>
      </w:pPr>
      <w:r w:rsidRPr="004E42C8">
        <w:rPr>
          <w:rFonts w:ascii="Garamond" w:hAnsi="Garamond"/>
          <w:sz w:val="24"/>
          <w:szCs w:val="24"/>
        </w:rPr>
        <w:t>[Name and Title]</w:t>
      </w:r>
    </w:p>
    <w:p w14:paraId="757CCB74" w14:textId="77777777" w:rsidR="005C7DD5" w:rsidRPr="004E42C8" w:rsidRDefault="005C7DD5" w:rsidP="004E42C8">
      <w:pPr>
        <w:spacing w:after="0" w:line="240" w:lineRule="auto"/>
        <w:contextualSpacing/>
        <w:rPr>
          <w:rFonts w:ascii="Garamond" w:hAnsi="Garamond"/>
          <w:sz w:val="24"/>
          <w:szCs w:val="24"/>
        </w:rPr>
      </w:pPr>
    </w:p>
    <w:p w14:paraId="4F9609E4" w14:textId="77777777" w:rsidR="005C7DD5" w:rsidRPr="004E42C8" w:rsidRDefault="005C7DD5" w:rsidP="004E42C8">
      <w:pPr>
        <w:spacing w:after="0" w:line="240" w:lineRule="auto"/>
        <w:contextualSpacing/>
        <w:rPr>
          <w:rFonts w:ascii="Garamond" w:hAnsi="Garamond"/>
          <w:sz w:val="24"/>
          <w:szCs w:val="24"/>
        </w:rPr>
      </w:pPr>
      <w:r w:rsidRPr="004E42C8">
        <w:rPr>
          <w:rFonts w:ascii="Garamond" w:hAnsi="Garamond"/>
          <w:sz w:val="24"/>
          <w:szCs w:val="24"/>
        </w:rPr>
        <w:t>[Address]</w:t>
      </w:r>
    </w:p>
    <w:p w14:paraId="4A064745" w14:textId="77777777" w:rsidR="005C7DD5" w:rsidRPr="004E42C8" w:rsidRDefault="005C7DD5" w:rsidP="004E42C8">
      <w:pPr>
        <w:spacing w:after="0" w:line="240" w:lineRule="auto"/>
        <w:contextualSpacing/>
        <w:rPr>
          <w:rFonts w:ascii="Garamond" w:hAnsi="Garamond"/>
          <w:sz w:val="24"/>
          <w:szCs w:val="24"/>
        </w:rPr>
      </w:pPr>
    </w:p>
    <w:p w14:paraId="6DE8FAEE" w14:textId="77777777" w:rsidR="005C7DD5" w:rsidRPr="004E42C8" w:rsidRDefault="005C7DD5" w:rsidP="004E42C8">
      <w:pPr>
        <w:spacing w:after="0" w:line="240" w:lineRule="auto"/>
        <w:contextualSpacing/>
        <w:rPr>
          <w:rFonts w:ascii="Garamond" w:hAnsi="Garamond"/>
          <w:sz w:val="24"/>
          <w:szCs w:val="24"/>
        </w:rPr>
      </w:pPr>
      <w:r w:rsidRPr="004E42C8">
        <w:rPr>
          <w:rFonts w:ascii="Garamond" w:hAnsi="Garamond"/>
          <w:sz w:val="24"/>
          <w:szCs w:val="24"/>
        </w:rPr>
        <w:t>Dated:  _______________________</w:t>
      </w:r>
    </w:p>
    <w:p w14:paraId="1DEF66A3" w14:textId="77777777" w:rsidR="005C7DD5" w:rsidRPr="004E42C8" w:rsidRDefault="005C7DD5" w:rsidP="004E42C8">
      <w:pPr>
        <w:spacing w:after="0" w:line="240" w:lineRule="auto"/>
        <w:rPr>
          <w:rFonts w:ascii="Garamond" w:hAnsi="Garamond"/>
          <w:sz w:val="24"/>
          <w:szCs w:val="24"/>
        </w:rPr>
      </w:pPr>
    </w:p>
    <w:p w14:paraId="04413D88" w14:textId="77777777" w:rsidR="005C7DD5" w:rsidRPr="004E42C8" w:rsidRDefault="005C7DD5" w:rsidP="004E42C8">
      <w:pPr>
        <w:spacing w:after="0" w:line="240" w:lineRule="auto"/>
        <w:rPr>
          <w:rFonts w:ascii="Garamond" w:hAnsi="Garamond"/>
          <w:sz w:val="24"/>
          <w:szCs w:val="24"/>
        </w:rPr>
      </w:pPr>
      <w:r w:rsidRPr="004E42C8">
        <w:rPr>
          <w:rFonts w:ascii="Garamond" w:hAnsi="Garamond"/>
          <w:sz w:val="24"/>
          <w:szCs w:val="24"/>
        </w:rPr>
        <w:t xml:space="preserve">For </w:t>
      </w:r>
      <w:r w:rsidRPr="004E42C8">
        <w:rPr>
          <w:rFonts w:ascii="Garamond" w:hAnsi="Garamond"/>
          <w:i/>
          <w:iCs/>
          <w:sz w:val="24"/>
          <w:szCs w:val="24"/>
        </w:rPr>
        <w:t>Communities United v. City of Chicago</w:t>
      </w:r>
      <w:r w:rsidRPr="004E42C8">
        <w:rPr>
          <w:rFonts w:ascii="Garamond" w:hAnsi="Garamond"/>
          <w:sz w:val="24"/>
          <w:szCs w:val="24"/>
        </w:rPr>
        <w:t xml:space="preserve"> Plaintiffs:</w:t>
      </w:r>
    </w:p>
    <w:p w14:paraId="55E2345D" w14:textId="77777777" w:rsidR="005C7DD5" w:rsidRPr="004E42C8" w:rsidRDefault="005C7DD5" w:rsidP="004E42C8">
      <w:pPr>
        <w:spacing w:after="0" w:line="240" w:lineRule="auto"/>
        <w:rPr>
          <w:rFonts w:ascii="Garamond" w:hAnsi="Garamond"/>
          <w:sz w:val="24"/>
          <w:szCs w:val="24"/>
        </w:rPr>
      </w:pPr>
    </w:p>
    <w:p w14:paraId="61FFC932" w14:textId="77777777" w:rsidR="005C7DD5" w:rsidRPr="004E42C8" w:rsidRDefault="005C7DD5" w:rsidP="004E42C8">
      <w:pPr>
        <w:spacing w:after="0" w:line="240" w:lineRule="auto"/>
        <w:rPr>
          <w:rFonts w:ascii="Garamond" w:hAnsi="Garamond"/>
          <w:sz w:val="24"/>
          <w:szCs w:val="24"/>
        </w:rPr>
      </w:pPr>
      <w:r w:rsidRPr="004E42C8">
        <w:rPr>
          <w:rFonts w:ascii="Garamond" w:hAnsi="Garamond"/>
          <w:sz w:val="24"/>
          <w:szCs w:val="24"/>
        </w:rPr>
        <w:t>__________________________________</w:t>
      </w:r>
      <w:r w:rsidRPr="004E42C8">
        <w:rPr>
          <w:rFonts w:ascii="Garamond" w:hAnsi="Garamond"/>
          <w:sz w:val="24"/>
          <w:szCs w:val="24"/>
        </w:rPr>
        <w:tab/>
      </w:r>
      <w:r w:rsidRPr="004E42C8">
        <w:rPr>
          <w:rFonts w:ascii="Garamond" w:hAnsi="Garamond"/>
          <w:sz w:val="24"/>
          <w:szCs w:val="24"/>
        </w:rPr>
        <w:tab/>
      </w:r>
      <w:r w:rsidRPr="004E42C8">
        <w:rPr>
          <w:rFonts w:ascii="Garamond" w:hAnsi="Garamond"/>
          <w:sz w:val="24"/>
          <w:szCs w:val="24"/>
        </w:rPr>
        <w:tab/>
      </w:r>
    </w:p>
    <w:p w14:paraId="2CD67535" w14:textId="77777777" w:rsidR="005C7DD5" w:rsidRPr="004E42C8" w:rsidRDefault="005C7DD5" w:rsidP="004E42C8">
      <w:pPr>
        <w:spacing w:after="0" w:line="240" w:lineRule="auto"/>
        <w:rPr>
          <w:rFonts w:ascii="Garamond" w:hAnsi="Garamond"/>
          <w:sz w:val="24"/>
          <w:szCs w:val="24"/>
        </w:rPr>
      </w:pPr>
      <w:r w:rsidRPr="004E42C8">
        <w:rPr>
          <w:rFonts w:ascii="Garamond" w:hAnsi="Garamond"/>
          <w:sz w:val="24"/>
          <w:szCs w:val="24"/>
        </w:rPr>
        <w:t>[Name and Title]</w:t>
      </w:r>
    </w:p>
    <w:p w14:paraId="3A5B3743" w14:textId="77777777" w:rsidR="005C7DD5" w:rsidRPr="004E42C8" w:rsidRDefault="005C7DD5" w:rsidP="004E42C8">
      <w:pPr>
        <w:spacing w:after="0" w:line="240" w:lineRule="auto"/>
        <w:rPr>
          <w:rFonts w:ascii="Garamond" w:hAnsi="Garamond"/>
          <w:sz w:val="24"/>
          <w:szCs w:val="24"/>
        </w:rPr>
      </w:pPr>
    </w:p>
    <w:p w14:paraId="5863EA58" w14:textId="77777777" w:rsidR="005C7DD5" w:rsidRPr="004E42C8" w:rsidRDefault="005C7DD5" w:rsidP="004E42C8">
      <w:pPr>
        <w:spacing w:after="0" w:line="240" w:lineRule="auto"/>
        <w:rPr>
          <w:rFonts w:ascii="Garamond" w:hAnsi="Garamond"/>
          <w:sz w:val="24"/>
          <w:szCs w:val="24"/>
        </w:rPr>
      </w:pPr>
      <w:r w:rsidRPr="004E42C8">
        <w:rPr>
          <w:rFonts w:ascii="Garamond" w:hAnsi="Garamond"/>
          <w:sz w:val="24"/>
          <w:szCs w:val="24"/>
        </w:rPr>
        <w:t>[Address]</w:t>
      </w:r>
    </w:p>
    <w:p w14:paraId="0C22061E" w14:textId="77777777" w:rsidR="005C7DD5" w:rsidRPr="004E42C8" w:rsidRDefault="005C7DD5" w:rsidP="004E42C8">
      <w:pPr>
        <w:spacing w:after="0" w:line="240" w:lineRule="auto"/>
        <w:rPr>
          <w:rFonts w:ascii="Garamond" w:hAnsi="Garamond"/>
          <w:sz w:val="24"/>
          <w:szCs w:val="24"/>
        </w:rPr>
      </w:pPr>
    </w:p>
    <w:p w14:paraId="10515FB4" w14:textId="77777777" w:rsidR="005C7DD5" w:rsidRPr="004E42C8" w:rsidRDefault="005C7DD5" w:rsidP="004E42C8">
      <w:pPr>
        <w:spacing w:after="0" w:line="240" w:lineRule="auto"/>
        <w:rPr>
          <w:rFonts w:ascii="Garamond" w:hAnsi="Garamond"/>
          <w:sz w:val="24"/>
          <w:szCs w:val="24"/>
        </w:rPr>
      </w:pPr>
      <w:r w:rsidRPr="004E42C8">
        <w:rPr>
          <w:rFonts w:ascii="Garamond" w:hAnsi="Garamond"/>
          <w:sz w:val="24"/>
          <w:szCs w:val="24"/>
        </w:rPr>
        <w:t>Dated:  _______________________:</w:t>
      </w:r>
    </w:p>
    <w:p w14:paraId="1CD135B7" w14:textId="77777777" w:rsidR="005C7DD5" w:rsidRPr="004E42C8" w:rsidRDefault="005C7DD5" w:rsidP="004E42C8">
      <w:pPr>
        <w:spacing w:after="0" w:line="240" w:lineRule="auto"/>
        <w:rPr>
          <w:rFonts w:ascii="Garamond" w:hAnsi="Garamond"/>
          <w:sz w:val="24"/>
          <w:szCs w:val="24"/>
        </w:rPr>
      </w:pPr>
    </w:p>
    <w:p w14:paraId="21065F3C" w14:textId="77777777" w:rsidR="005C7DD5" w:rsidRPr="004E42C8" w:rsidRDefault="005C7DD5" w:rsidP="004E42C8">
      <w:pPr>
        <w:spacing w:after="0" w:line="240" w:lineRule="auto"/>
        <w:rPr>
          <w:rFonts w:ascii="Garamond" w:hAnsi="Garamond"/>
          <w:sz w:val="24"/>
          <w:szCs w:val="24"/>
        </w:rPr>
      </w:pPr>
    </w:p>
    <w:sectPr w:rsidR="005C7DD5" w:rsidRPr="004E42C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3B789" w14:textId="77777777" w:rsidR="00D668C7" w:rsidRDefault="00D668C7" w:rsidP="00592580">
      <w:pPr>
        <w:spacing w:after="0" w:line="240" w:lineRule="auto"/>
      </w:pPr>
      <w:r>
        <w:separator/>
      </w:r>
    </w:p>
  </w:endnote>
  <w:endnote w:type="continuationSeparator" w:id="0">
    <w:p w14:paraId="6E593A55" w14:textId="77777777" w:rsidR="00D668C7" w:rsidRDefault="00D668C7" w:rsidP="00592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00C54" w14:textId="77777777" w:rsidR="00D668C7" w:rsidRDefault="00D668C7" w:rsidP="00592580">
      <w:pPr>
        <w:spacing w:after="0" w:line="240" w:lineRule="auto"/>
      </w:pPr>
      <w:r>
        <w:separator/>
      </w:r>
    </w:p>
  </w:footnote>
  <w:footnote w:type="continuationSeparator" w:id="0">
    <w:p w14:paraId="7D43CCD9" w14:textId="77777777" w:rsidR="00D668C7" w:rsidRDefault="00D668C7" w:rsidP="00592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84AD2"/>
    <w:multiLevelType w:val="hybridMultilevel"/>
    <w:tmpl w:val="5C3862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7F9D7520"/>
    <w:multiLevelType w:val="hybridMultilevel"/>
    <w:tmpl w:val="C2EC5094"/>
    <w:lvl w:ilvl="0" w:tplc="0409000F">
      <w:start w:val="1"/>
      <w:numFmt w:val="decimal"/>
      <w:lvlText w:val="%1."/>
      <w:lvlJc w:val="left"/>
      <w:pPr>
        <w:ind w:left="720" w:hanging="360"/>
      </w:pPr>
      <w:rPr>
        <w:rFonts w:hint="default"/>
      </w:rPr>
    </w:lvl>
    <w:lvl w:ilvl="1" w:tplc="BF26B296">
      <w:start w:val="1"/>
      <w:numFmt w:val="lowerLetter"/>
      <w:lvlText w:val="%2."/>
      <w:lvlJc w:val="left"/>
      <w:pPr>
        <w:ind w:left="1440" w:hanging="360"/>
      </w:pPr>
      <w:rPr>
        <w:rFonts w:ascii="Garamond" w:eastAsiaTheme="minorHAnsi" w:hAnsi="Garamond"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5239491">
    <w:abstractNumId w:val="1"/>
  </w:num>
  <w:num w:numId="2" w16cid:durableId="27980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564"/>
    <w:rsid w:val="00014EFA"/>
    <w:rsid w:val="00017C5F"/>
    <w:rsid w:val="00081A69"/>
    <w:rsid w:val="0012238A"/>
    <w:rsid w:val="001251EB"/>
    <w:rsid w:val="0013080B"/>
    <w:rsid w:val="00174004"/>
    <w:rsid w:val="001D622C"/>
    <w:rsid w:val="00233443"/>
    <w:rsid w:val="00234EF7"/>
    <w:rsid w:val="002435E8"/>
    <w:rsid w:val="0025689E"/>
    <w:rsid w:val="0026664E"/>
    <w:rsid w:val="0027575E"/>
    <w:rsid w:val="00325883"/>
    <w:rsid w:val="00333B5C"/>
    <w:rsid w:val="0034432C"/>
    <w:rsid w:val="0037091C"/>
    <w:rsid w:val="003B0C3D"/>
    <w:rsid w:val="003B0DB0"/>
    <w:rsid w:val="003E5A6E"/>
    <w:rsid w:val="0042482F"/>
    <w:rsid w:val="00493853"/>
    <w:rsid w:val="00497B0B"/>
    <w:rsid w:val="004C38A6"/>
    <w:rsid w:val="004C59FA"/>
    <w:rsid w:val="004C6564"/>
    <w:rsid w:val="004C7559"/>
    <w:rsid w:val="004E42C8"/>
    <w:rsid w:val="00504DB4"/>
    <w:rsid w:val="005213FE"/>
    <w:rsid w:val="00592580"/>
    <w:rsid w:val="00594ACF"/>
    <w:rsid w:val="005A58E7"/>
    <w:rsid w:val="005C7DD5"/>
    <w:rsid w:val="005D6A3C"/>
    <w:rsid w:val="005F5528"/>
    <w:rsid w:val="0065548B"/>
    <w:rsid w:val="006711EE"/>
    <w:rsid w:val="00681CE4"/>
    <w:rsid w:val="006B7483"/>
    <w:rsid w:val="00742A08"/>
    <w:rsid w:val="00770505"/>
    <w:rsid w:val="00780798"/>
    <w:rsid w:val="007D3C12"/>
    <w:rsid w:val="007E2364"/>
    <w:rsid w:val="007F124E"/>
    <w:rsid w:val="0080648D"/>
    <w:rsid w:val="008800BE"/>
    <w:rsid w:val="00887552"/>
    <w:rsid w:val="00893816"/>
    <w:rsid w:val="008A4234"/>
    <w:rsid w:val="008A5CFE"/>
    <w:rsid w:val="008B1190"/>
    <w:rsid w:val="008C3145"/>
    <w:rsid w:val="009463A5"/>
    <w:rsid w:val="009C44F7"/>
    <w:rsid w:val="00A0339F"/>
    <w:rsid w:val="00A12965"/>
    <w:rsid w:val="00A67513"/>
    <w:rsid w:val="00A8031D"/>
    <w:rsid w:val="00A93CB0"/>
    <w:rsid w:val="00A96BD3"/>
    <w:rsid w:val="00AC3533"/>
    <w:rsid w:val="00AD423D"/>
    <w:rsid w:val="00AE6178"/>
    <w:rsid w:val="00AF3D8E"/>
    <w:rsid w:val="00B10FBF"/>
    <w:rsid w:val="00B70334"/>
    <w:rsid w:val="00BE29A6"/>
    <w:rsid w:val="00C11289"/>
    <w:rsid w:val="00C31A1B"/>
    <w:rsid w:val="00C96208"/>
    <w:rsid w:val="00CB559A"/>
    <w:rsid w:val="00CC5436"/>
    <w:rsid w:val="00CD5806"/>
    <w:rsid w:val="00CE05C8"/>
    <w:rsid w:val="00CE286E"/>
    <w:rsid w:val="00D37440"/>
    <w:rsid w:val="00D54D20"/>
    <w:rsid w:val="00D668C7"/>
    <w:rsid w:val="00D72039"/>
    <w:rsid w:val="00DA4FA1"/>
    <w:rsid w:val="00DA56F9"/>
    <w:rsid w:val="00DB310B"/>
    <w:rsid w:val="00DB7FD6"/>
    <w:rsid w:val="00DE01D7"/>
    <w:rsid w:val="00E23F8D"/>
    <w:rsid w:val="00E34AE3"/>
    <w:rsid w:val="00E9537E"/>
    <w:rsid w:val="00EA04F2"/>
    <w:rsid w:val="00EA77BC"/>
    <w:rsid w:val="00EB777C"/>
    <w:rsid w:val="00EC23D4"/>
    <w:rsid w:val="00ED1CD9"/>
    <w:rsid w:val="00ED22B8"/>
    <w:rsid w:val="00F336CC"/>
    <w:rsid w:val="00F35CB9"/>
    <w:rsid w:val="00F60B95"/>
    <w:rsid w:val="00F902D6"/>
    <w:rsid w:val="00FB4997"/>
    <w:rsid w:val="00FF2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07B49"/>
  <w15:chartTrackingRefBased/>
  <w15:docId w15:val="{2974AD5E-D648-4FCD-98D6-2EF64AF3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0798"/>
    <w:pPr>
      <w:ind w:left="720"/>
      <w:contextualSpacing/>
    </w:pPr>
  </w:style>
  <w:style w:type="paragraph" w:customStyle="1" w:styleId="Court">
    <w:name w:val="Court"/>
    <w:basedOn w:val="Normal"/>
    <w:link w:val="CourtChar"/>
    <w:rsid w:val="00780798"/>
    <w:pPr>
      <w:widowControl w:val="0"/>
      <w:spacing w:after="120" w:line="240" w:lineRule="auto"/>
    </w:pPr>
    <w:rPr>
      <w:rFonts w:ascii="Times New Roman" w:eastAsia="Times New Roman" w:hAnsi="Times New Roman" w:cs="Times New Roman"/>
      <w:caps/>
      <w:sz w:val="24"/>
      <w:szCs w:val="20"/>
    </w:rPr>
  </w:style>
  <w:style w:type="paragraph" w:customStyle="1" w:styleId="CaptionRight">
    <w:name w:val="Caption Right"/>
    <w:basedOn w:val="Caption"/>
    <w:rsid w:val="00780798"/>
    <w:pPr>
      <w:widowControl w:val="0"/>
      <w:tabs>
        <w:tab w:val="left" w:pos="1440"/>
      </w:tabs>
      <w:spacing w:after="0"/>
      <w:ind w:left="1440" w:right="72" w:hanging="1224"/>
    </w:pPr>
    <w:rPr>
      <w:rFonts w:ascii="Times New Roman" w:eastAsia="Times New Roman" w:hAnsi="Times New Roman" w:cs="Times New Roman"/>
      <w:bCs/>
      <w:i w:val="0"/>
      <w:iCs w:val="0"/>
      <w:color w:val="auto"/>
      <w:sz w:val="24"/>
      <w:szCs w:val="20"/>
    </w:rPr>
  </w:style>
  <w:style w:type="paragraph" w:customStyle="1" w:styleId="Parties">
    <w:name w:val="Parties"/>
    <w:basedOn w:val="Caption"/>
    <w:rsid w:val="00780798"/>
    <w:pPr>
      <w:widowControl w:val="0"/>
      <w:spacing w:before="240" w:after="240"/>
    </w:pPr>
    <w:rPr>
      <w:rFonts w:ascii="Times New Roman" w:eastAsia="Times New Roman" w:hAnsi="Times New Roman" w:cs="Times New Roman"/>
      <w:bCs/>
      <w:i w:val="0"/>
      <w:iCs w:val="0"/>
      <w:color w:val="auto"/>
      <w:sz w:val="24"/>
      <w:szCs w:val="20"/>
    </w:rPr>
  </w:style>
  <w:style w:type="paragraph" w:customStyle="1" w:styleId="Plaintiff">
    <w:name w:val="Plaintiff"/>
    <w:basedOn w:val="Caption"/>
    <w:rsid w:val="00780798"/>
    <w:pPr>
      <w:widowControl w:val="0"/>
      <w:spacing w:after="240"/>
      <w:ind w:left="1800"/>
    </w:pPr>
    <w:rPr>
      <w:rFonts w:ascii="Times New Roman" w:eastAsia="Times New Roman" w:hAnsi="Times New Roman" w:cs="Times New Roman"/>
      <w:bCs/>
      <w:i w:val="0"/>
      <w:iCs w:val="0"/>
      <w:color w:val="auto"/>
      <w:sz w:val="24"/>
      <w:szCs w:val="20"/>
    </w:rPr>
  </w:style>
  <w:style w:type="paragraph" w:customStyle="1" w:styleId="vs">
    <w:name w:val="vs"/>
    <w:basedOn w:val="Caption"/>
    <w:rsid w:val="00780798"/>
    <w:pPr>
      <w:widowControl w:val="0"/>
      <w:spacing w:after="240"/>
      <w:ind w:left="720"/>
    </w:pPr>
    <w:rPr>
      <w:rFonts w:ascii="Times New Roman" w:eastAsia="Times New Roman" w:hAnsi="Times New Roman" w:cs="Times New Roman"/>
      <w:bCs/>
      <w:i w:val="0"/>
      <w:iCs w:val="0"/>
      <w:color w:val="auto"/>
      <w:sz w:val="24"/>
      <w:szCs w:val="20"/>
    </w:rPr>
  </w:style>
  <w:style w:type="paragraph" w:customStyle="1" w:styleId="Defendant">
    <w:name w:val="Defendant"/>
    <w:basedOn w:val="Caption"/>
    <w:rsid w:val="00780798"/>
    <w:pPr>
      <w:widowControl w:val="0"/>
      <w:spacing w:after="240"/>
      <w:ind w:left="1800"/>
    </w:pPr>
    <w:rPr>
      <w:rFonts w:ascii="Times New Roman" w:eastAsia="Times New Roman" w:hAnsi="Times New Roman" w:cs="Times New Roman"/>
      <w:bCs/>
      <w:i w:val="0"/>
      <w:iCs w:val="0"/>
      <w:color w:val="auto"/>
      <w:sz w:val="24"/>
      <w:szCs w:val="20"/>
    </w:rPr>
  </w:style>
  <w:style w:type="character" w:customStyle="1" w:styleId="CourtChar">
    <w:name w:val="Court Char"/>
    <w:basedOn w:val="DefaultParagraphFont"/>
    <w:link w:val="Court"/>
    <w:rsid w:val="00780798"/>
    <w:rPr>
      <w:rFonts w:ascii="Times New Roman" w:eastAsia="Times New Roman" w:hAnsi="Times New Roman" w:cs="Times New Roman"/>
      <w:caps/>
      <w:sz w:val="24"/>
      <w:szCs w:val="20"/>
    </w:rPr>
  </w:style>
  <w:style w:type="paragraph" w:styleId="Caption">
    <w:name w:val="caption"/>
    <w:basedOn w:val="Normal"/>
    <w:next w:val="Normal"/>
    <w:uiPriority w:val="35"/>
    <w:semiHidden/>
    <w:unhideWhenUsed/>
    <w:qFormat/>
    <w:rsid w:val="00780798"/>
    <w:pPr>
      <w:spacing w:after="200" w:line="240" w:lineRule="auto"/>
    </w:pPr>
    <w:rPr>
      <w:i/>
      <w:iCs/>
      <w:color w:val="44546A" w:themeColor="text2"/>
      <w:sz w:val="18"/>
      <w:szCs w:val="18"/>
    </w:rPr>
  </w:style>
  <w:style w:type="paragraph" w:styleId="FootnoteText">
    <w:name w:val="footnote text"/>
    <w:basedOn w:val="Normal"/>
    <w:link w:val="FootnoteTextChar"/>
    <w:uiPriority w:val="99"/>
    <w:semiHidden/>
    <w:unhideWhenUsed/>
    <w:rsid w:val="005925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2580"/>
    <w:rPr>
      <w:sz w:val="20"/>
      <w:szCs w:val="20"/>
    </w:rPr>
  </w:style>
  <w:style w:type="character" w:styleId="FootnoteReference">
    <w:name w:val="footnote reference"/>
    <w:basedOn w:val="DefaultParagraphFont"/>
    <w:uiPriority w:val="99"/>
    <w:semiHidden/>
    <w:unhideWhenUsed/>
    <w:rsid w:val="00592580"/>
    <w:rPr>
      <w:vertAlign w:val="superscript"/>
    </w:rPr>
  </w:style>
  <w:style w:type="character" w:styleId="CommentReference">
    <w:name w:val="annotation reference"/>
    <w:basedOn w:val="DefaultParagraphFont"/>
    <w:uiPriority w:val="99"/>
    <w:semiHidden/>
    <w:unhideWhenUsed/>
    <w:rsid w:val="00A0339F"/>
    <w:rPr>
      <w:sz w:val="16"/>
      <w:szCs w:val="16"/>
    </w:rPr>
  </w:style>
  <w:style w:type="paragraph" w:styleId="CommentText">
    <w:name w:val="annotation text"/>
    <w:basedOn w:val="Normal"/>
    <w:link w:val="CommentTextChar"/>
    <w:uiPriority w:val="99"/>
    <w:semiHidden/>
    <w:unhideWhenUsed/>
    <w:rsid w:val="00A0339F"/>
    <w:pPr>
      <w:spacing w:line="240" w:lineRule="auto"/>
    </w:pPr>
    <w:rPr>
      <w:sz w:val="20"/>
      <w:szCs w:val="20"/>
    </w:rPr>
  </w:style>
  <w:style w:type="character" w:customStyle="1" w:styleId="CommentTextChar">
    <w:name w:val="Comment Text Char"/>
    <w:basedOn w:val="DefaultParagraphFont"/>
    <w:link w:val="CommentText"/>
    <w:uiPriority w:val="99"/>
    <w:semiHidden/>
    <w:rsid w:val="00A0339F"/>
    <w:rPr>
      <w:sz w:val="20"/>
      <w:szCs w:val="20"/>
    </w:rPr>
  </w:style>
  <w:style w:type="paragraph" w:styleId="CommentSubject">
    <w:name w:val="annotation subject"/>
    <w:basedOn w:val="CommentText"/>
    <w:next w:val="CommentText"/>
    <w:link w:val="CommentSubjectChar"/>
    <w:uiPriority w:val="99"/>
    <w:semiHidden/>
    <w:unhideWhenUsed/>
    <w:rsid w:val="00A0339F"/>
    <w:rPr>
      <w:b/>
      <w:bCs/>
    </w:rPr>
  </w:style>
  <w:style w:type="character" w:customStyle="1" w:styleId="CommentSubjectChar">
    <w:name w:val="Comment Subject Char"/>
    <w:basedOn w:val="CommentTextChar"/>
    <w:link w:val="CommentSubject"/>
    <w:uiPriority w:val="99"/>
    <w:semiHidden/>
    <w:rsid w:val="00A0339F"/>
    <w:rPr>
      <w:b/>
      <w:bCs/>
      <w:sz w:val="20"/>
      <w:szCs w:val="20"/>
    </w:rPr>
  </w:style>
  <w:style w:type="paragraph" w:styleId="BalloonText">
    <w:name w:val="Balloon Text"/>
    <w:basedOn w:val="Normal"/>
    <w:link w:val="BalloonTextChar"/>
    <w:uiPriority w:val="99"/>
    <w:semiHidden/>
    <w:unhideWhenUsed/>
    <w:rsid w:val="00A033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39F"/>
    <w:rPr>
      <w:rFonts w:ascii="Segoe UI" w:hAnsi="Segoe UI" w:cs="Segoe UI"/>
      <w:sz w:val="18"/>
      <w:szCs w:val="18"/>
    </w:rPr>
  </w:style>
  <w:style w:type="paragraph" w:styleId="Revision">
    <w:name w:val="Revision"/>
    <w:hidden/>
    <w:uiPriority w:val="99"/>
    <w:semiHidden/>
    <w:rsid w:val="00ED1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25332-CE94-4C73-9598-2A70E421A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1263</Words>
  <Characters>7202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A Bedi</dc:creator>
  <cp:keywords/>
  <dc:description/>
  <cp:lastModifiedBy>Amanda Antholt</cp:lastModifiedBy>
  <cp:revision>3</cp:revision>
  <dcterms:created xsi:type="dcterms:W3CDTF">2022-05-05T20:03:00Z</dcterms:created>
  <dcterms:modified xsi:type="dcterms:W3CDTF">2022-05-05T20:19:00Z</dcterms:modified>
</cp:coreProperties>
</file>